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06C3B" w14:textId="77777777" w:rsidR="009E11FF" w:rsidRPr="00A877F4" w:rsidRDefault="009E11FF" w:rsidP="009E11FF">
      <w:pPr>
        <w:jc w:val="right"/>
        <w:rPr>
          <w:rFonts w:ascii="Verdana" w:hAnsi="Verdana" w:cs="Times New Roman"/>
          <w:sz w:val="18"/>
          <w:szCs w:val="18"/>
        </w:rPr>
      </w:pPr>
    </w:p>
    <w:p w14:paraId="393B6A1D" w14:textId="20FA08C4" w:rsidR="00257B06" w:rsidRPr="009B01A3" w:rsidRDefault="0002487D" w:rsidP="00257B06">
      <w:pPr>
        <w:jc w:val="center"/>
      </w:pPr>
      <w:r w:rsidRPr="009B01A3">
        <w:rPr>
          <w:noProof/>
          <w:lang w:eastAsia="en-GB"/>
        </w:rPr>
        <w:drawing>
          <wp:inline distT="0" distB="0" distL="0" distR="0" wp14:anchorId="332F17D4" wp14:editId="30B1E49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14:paraId="3762BDAB" w14:textId="77777777" w:rsidR="00257B06" w:rsidRPr="001D205D" w:rsidRDefault="00AB6E2B" w:rsidP="00257B06">
      <w:pPr>
        <w:pStyle w:val="ReferenceNumber"/>
        <w:rPr>
          <w:rStyle w:val="Regular"/>
        </w:rPr>
      </w:pPr>
      <w:sdt>
        <w:sdtPr>
          <w:rPr>
            <w:rStyle w:val="Style5"/>
          </w:rPr>
          <w:id w:val="1985192326"/>
          <w:comboBox>
            <w:listItem w:value="Select Information Classification Levels"/>
            <w:listItem w:displayText=" " w:value="  "/>
            <w:listItem w:displayText="EIOPA REGULAR USE" w:value="EIOPA REGULAR USE"/>
            <w:listItem w:displayText="EIOPA RESTRICTED USE" w:value="EIOPA RESTRICTED USE"/>
            <w:listItem w:displayText="EIOPA CONFIDENTIAL USE" w:value="EIOPA CONFIDENTIAL USE"/>
          </w:comboBox>
        </w:sdtPr>
        <w:sdtEndPr>
          <w:rPr>
            <w:rStyle w:val="Regular"/>
            <w:color w:val="auto"/>
          </w:rPr>
        </w:sdtEndPr>
        <w:sdtContent>
          <w:r w:rsidR="00CE275F" w:rsidRPr="001D205D">
            <w:rPr>
              <w:rStyle w:val="Style5"/>
            </w:rPr>
            <w:t xml:space="preserve"> </w:t>
          </w:r>
        </w:sdtContent>
      </w:sdt>
      <w:r w:rsidR="00257B06" w:rsidRPr="001D205D">
        <w:rPr>
          <w:rStyle w:val="Regular"/>
        </w:rPr>
        <w:t xml:space="preserve"> </w:t>
      </w:r>
    </w:p>
    <w:p w14:paraId="4C1C9A9E" w14:textId="77777777" w:rsidR="00AE70FD" w:rsidRPr="001D205D" w:rsidRDefault="00AE70FD" w:rsidP="009E11FF">
      <w:pPr>
        <w:jc w:val="right"/>
        <w:rPr>
          <w:rFonts w:ascii="Verdana" w:hAnsi="Verdana" w:cs="Times New Roman"/>
          <w:sz w:val="18"/>
          <w:szCs w:val="18"/>
        </w:rPr>
      </w:pPr>
    </w:p>
    <w:p w14:paraId="006482D5" w14:textId="77777777" w:rsidR="00AE70FD" w:rsidRPr="001D205D" w:rsidRDefault="00AE70FD" w:rsidP="009E11FF">
      <w:pPr>
        <w:jc w:val="right"/>
        <w:rPr>
          <w:rFonts w:ascii="Verdana" w:hAnsi="Verdana" w:cs="Times New Roman"/>
          <w:sz w:val="18"/>
          <w:szCs w:val="18"/>
        </w:rPr>
      </w:pPr>
    </w:p>
    <w:p w14:paraId="2AFBDA48" w14:textId="77777777" w:rsidR="00AE70FD" w:rsidRPr="001D205D" w:rsidRDefault="00AE70FD" w:rsidP="009E11FF">
      <w:pPr>
        <w:jc w:val="right"/>
        <w:rPr>
          <w:rFonts w:ascii="Verdana" w:hAnsi="Verdana" w:cs="Times New Roman"/>
          <w:sz w:val="18"/>
          <w:szCs w:val="18"/>
        </w:rPr>
      </w:pPr>
    </w:p>
    <w:p w14:paraId="00235BAD" w14:textId="49AC1A5F" w:rsidR="0046238A" w:rsidRPr="003A4C4C" w:rsidRDefault="0046238A" w:rsidP="0046238A">
      <w:pPr>
        <w:pStyle w:val="Heading2"/>
        <w:jc w:val="both"/>
        <w:rPr>
          <w:rFonts w:ascii="Verdana" w:hAnsi="Verdana"/>
          <w:color w:val="auto"/>
          <w:sz w:val="24"/>
          <w:szCs w:val="24"/>
          <w:lang w:eastAsia="de-DE"/>
        </w:rPr>
      </w:pPr>
      <w:bookmarkStart w:id="0" w:name="_Toc404335348"/>
      <w:bookmarkStart w:id="1" w:name="_Toc433380716"/>
      <w:bookmarkStart w:id="2" w:name="_Toc399343158"/>
      <w:bookmarkStart w:id="3" w:name="_Toc400986847"/>
      <w:bookmarkStart w:id="4" w:name="_Toc402443435"/>
      <w:r w:rsidRPr="003A4C4C">
        <w:rPr>
          <w:rFonts w:ascii="Verdana" w:hAnsi="Verdana"/>
          <w:color w:val="auto"/>
          <w:sz w:val="24"/>
          <w:szCs w:val="24"/>
          <w:lang w:eastAsia="de-DE"/>
        </w:rPr>
        <w:t>Technical Annex I – Information to be included within the regular supervisory report</w:t>
      </w:r>
      <w:bookmarkEnd w:id="0"/>
      <w:bookmarkEnd w:id="1"/>
      <w:r w:rsidRPr="003A4C4C">
        <w:rPr>
          <w:rFonts w:ascii="Verdana" w:hAnsi="Verdana"/>
          <w:color w:val="auto"/>
          <w:sz w:val="24"/>
          <w:szCs w:val="24"/>
          <w:lang w:eastAsia="de-DE"/>
        </w:rPr>
        <w:t xml:space="preserve"> </w:t>
      </w:r>
    </w:p>
    <w:p w14:paraId="1AF5208A" w14:textId="77777777" w:rsidR="0046238A" w:rsidRPr="00BA1C1B" w:rsidRDefault="0046238A" w:rsidP="0046238A">
      <w:pPr>
        <w:spacing w:before="240" w:after="240"/>
        <w:jc w:val="both"/>
        <w:rPr>
          <w:rFonts w:ascii="Verdana" w:eastAsiaTheme="minorHAnsi" w:hAnsi="Verdana"/>
        </w:rPr>
      </w:pPr>
      <w:r w:rsidRPr="00BA1C1B">
        <w:rPr>
          <w:rFonts w:ascii="Verdana" w:eastAsiaTheme="minorHAnsi" w:hAnsi="Verdana"/>
          <w:b/>
        </w:rPr>
        <w:t xml:space="preserve">Summary </w:t>
      </w:r>
    </w:p>
    <w:p w14:paraId="48EE1730" w14:textId="77777777" w:rsidR="0046238A" w:rsidRPr="00BA1C1B" w:rsidRDefault="0046238A" w:rsidP="007512B2">
      <w:pPr>
        <w:numPr>
          <w:ilvl w:val="0"/>
          <w:numId w:val="19"/>
        </w:numPr>
        <w:spacing w:before="120" w:after="120"/>
        <w:ind w:left="567" w:hanging="567"/>
        <w:jc w:val="both"/>
        <w:rPr>
          <w:rFonts w:ascii="Verdana" w:hAnsi="Verdana"/>
        </w:rPr>
      </w:pPr>
      <w:r w:rsidRPr="00BA1C1B">
        <w:rPr>
          <w:rFonts w:ascii="Verdana" w:hAnsi="Verdana"/>
        </w:rPr>
        <w:t>The regular supervisory report should include a summary which should in particular highlight any material changes that have occurred in the branch’s business and performance, system of governance, risk profile, valuation for solvency purposes and capital management over the reporting period, and provide a concise explanation about the causes and effects of such changes. The summary should include the information on the ORSA for the purpose of Article 45(6) of Directive 2009/138/EC.</w:t>
      </w:r>
    </w:p>
    <w:p w14:paraId="70FC6A18"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Analysis of legal and practical issues </w:t>
      </w:r>
    </w:p>
    <w:p w14:paraId="1E7F1CDF" w14:textId="5C0C963A" w:rsidR="0046238A" w:rsidRPr="00BA1C1B" w:rsidRDefault="0046238A" w:rsidP="007512B2">
      <w:pPr>
        <w:numPr>
          <w:ilvl w:val="0"/>
          <w:numId w:val="19"/>
        </w:numPr>
        <w:spacing w:before="120" w:after="120"/>
        <w:ind w:left="709" w:hanging="709"/>
        <w:jc w:val="both"/>
        <w:rPr>
          <w:rFonts w:ascii="Verdana" w:hAnsi="Verdana"/>
        </w:rPr>
      </w:pPr>
      <w:r w:rsidRPr="004A5DE5">
        <w:rPr>
          <w:rFonts w:ascii="Verdana" w:hAnsi="Verdana"/>
        </w:rPr>
        <w:t>Third-country insurance undertakings should provide a numer</w:t>
      </w:r>
      <w:r w:rsidRPr="00BA1C1B">
        <w:rPr>
          <w:rFonts w:ascii="Verdana" w:hAnsi="Verdana"/>
        </w:rPr>
        <w:t>ic illustration of how the available branch assets would be distributed in a winding-up of the undertaking supported by a legal opinion and description of the applicable laws relating to winding-up in the relevant jurisdictions. The illustration should reflect the order of priorities of claims which would apply to the distribution of branch assets and take into account all arrangements which may be in place to provide certain policyholders or creditors security, protection or priority. The illustration should be in a format similar to that in Technical Annex II.</w:t>
      </w:r>
    </w:p>
    <w:p w14:paraId="0D835E1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qualifications of the person providing the analysis and their competency to be able to advise in respect of those laws should be stated.</w:t>
      </w:r>
    </w:p>
    <w:p w14:paraId="03BE8D34"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Business and Performance</w:t>
      </w:r>
    </w:p>
    <w:p w14:paraId="403BB15F"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Business </w:t>
      </w:r>
    </w:p>
    <w:p w14:paraId="4D106D2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w:t>
      </w:r>
      <w:r>
        <w:rPr>
          <w:rFonts w:ascii="Verdana" w:hAnsi="Verdana"/>
        </w:rPr>
        <w:t>ported by third-</w:t>
      </w:r>
      <w:r w:rsidRPr="00BA1C1B">
        <w:rPr>
          <w:rFonts w:ascii="Verdana" w:hAnsi="Verdana"/>
        </w:rPr>
        <w:t>country insurance undertakings:</w:t>
      </w:r>
    </w:p>
    <w:p w14:paraId="0A38D46E"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t>the main trends and factors that contribute to the development, performance and position of the (whole) undertaking over its business planning time horizon including the undertaking's competitive position and any significant legal or regulatory issues.  That information should highlight both matters which are relevant to branch operations and issues which could affect the solvency of the undertaking as a whole;</w:t>
      </w:r>
    </w:p>
    <w:p w14:paraId="413A3037"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t>a description of the business objectives of the undertaking in relation to the branch operations, including the relevant strategies and time frames;</w:t>
      </w:r>
    </w:p>
    <w:p w14:paraId="705886EB"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lastRenderedPageBreak/>
        <w:t>the management accounts for the branch as described in Guideline 18.</w:t>
      </w:r>
    </w:p>
    <w:p w14:paraId="0F3CD684" w14:textId="4DBEBDAC"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also report, with regard to branch operations:</w:t>
      </w:r>
    </w:p>
    <w:p w14:paraId="2BFE4412"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of the branch;</w:t>
      </w:r>
    </w:p>
    <w:p w14:paraId="54863044"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location of the parent and of the ultimate parent entity;</w:t>
      </w:r>
    </w:p>
    <w:p w14:paraId="3AF696B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contact details of the home supervisory authority responsible for financial supervision of the undertaking;</w:t>
      </w:r>
    </w:p>
    <w:p w14:paraId="2100C78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list of subsidiaries and branches of the parent undertaking;</w:t>
      </w:r>
    </w:p>
    <w:p w14:paraId="35F3E9E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simplified group structure;</w:t>
      </w:r>
    </w:p>
    <w:p w14:paraId="6961048E"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whether the undertaking has applied for the advantages in Article 167(1) of Directive 2009/138/EC and if so the location of branches which have been established in any Member State;</w:t>
      </w:r>
    </w:p>
    <w:p w14:paraId="49F899EC"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contact details of the external auditor of the branch, where applicable;</w:t>
      </w:r>
    </w:p>
    <w:p w14:paraId="6135C082"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number of full time equivalent employees; </w:t>
      </w:r>
    </w:p>
    <w:p w14:paraId="662729E5"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information on internal structures;</w:t>
      </w:r>
    </w:p>
    <w:p w14:paraId="077F1AE6"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branch’s material lines of business and material geographical areas where it writes business;</w:t>
      </w:r>
    </w:p>
    <w:p w14:paraId="3237A1D4"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any significant business or other events that have occurred over </w:t>
      </w:r>
      <w:proofErr w:type="gramStart"/>
      <w:r w:rsidRPr="00BA1C1B">
        <w:rPr>
          <w:rFonts w:ascii="Verdana" w:hAnsi="Verdana"/>
        </w:rPr>
        <w:t>the  reporting</w:t>
      </w:r>
      <w:proofErr w:type="gramEnd"/>
      <w:r w:rsidRPr="00BA1C1B">
        <w:rPr>
          <w:rFonts w:ascii="Verdana" w:hAnsi="Verdana"/>
        </w:rPr>
        <w:t xml:space="preserve"> period that have had a material impact on the branch operations.</w:t>
      </w:r>
    </w:p>
    <w:p w14:paraId="1B48054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Underwriting Performance </w:t>
      </w:r>
    </w:p>
    <w:p w14:paraId="35003929"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report the following in relation to their branch underwriting performance:</w:t>
      </w:r>
    </w:p>
    <w:p w14:paraId="649D99B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qualitative and quantitative information on their branch underwriting performance, at an aggregate level and by material line of business and material geographical areas where it writes business over the reporting period, together with a comparison of the information with that reported on the previous reporting period as shown in the branch’s specific accounts;</w:t>
      </w:r>
    </w:p>
    <w:p w14:paraId="0D1F91D9"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on the branch's underwriting performance by line of business during the reporting period against projections, and significant factors affecting deviations from these projections;</w:t>
      </w:r>
    </w:p>
    <w:p w14:paraId="0F2AEF6D"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projections of the branch's underwriting performance, with information on significant factors that might affect such underwriting performance, over its business planning time horizon;</w:t>
      </w:r>
    </w:p>
    <w:p w14:paraId="7D2FE7E9"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on any material risk mitigation techniques purchased or </w:t>
      </w:r>
      <w:proofErr w:type="gramStart"/>
      <w:r w:rsidRPr="00BA1C1B">
        <w:rPr>
          <w:rFonts w:ascii="Verdana" w:hAnsi="Verdana"/>
          <w:lang w:eastAsia="de-DE"/>
        </w:rPr>
        <w:t>entered into</w:t>
      </w:r>
      <w:proofErr w:type="gramEnd"/>
      <w:r w:rsidRPr="00BA1C1B">
        <w:rPr>
          <w:rFonts w:ascii="Verdana" w:hAnsi="Verdana"/>
          <w:lang w:eastAsia="de-DE"/>
        </w:rPr>
        <w:t xml:space="preserve"> during the reporting period in respect of branch operations. This should include information on the effectiveness of these techniques and the impact on the performance of branch underwriting activities. </w:t>
      </w:r>
    </w:p>
    <w:p w14:paraId="31E0C224"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Investment performance </w:t>
      </w:r>
    </w:p>
    <w:p w14:paraId="1684B985"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performance of their branch investments;</w:t>
      </w:r>
    </w:p>
    <w:p w14:paraId="7CCDE001"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lastRenderedPageBreak/>
        <w:t xml:space="preserve">information on the performance of their branch investments over the reporting period together with a comparison of the information with that reported </w:t>
      </w:r>
      <w:r>
        <w:rPr>
          <w:rFonts w:ascii="Verdana" w:hAnsi="Verdana"/>
        </w:rPr>
        <w:t>i</w:t>
      </w:r>
      <w:r w:rsidRPr="00BA1C1B">
        <w:rPr>
          <w:rFonts w:ascii="Verdana" w:hAnsi="Verdana"/>
        </w:rPr>
        <w:t xml:space="preserve">n the previous reporting period and reasons for any material change. </w:t>
      </w:r>
    </w:p>
    <w:p w14:paraId="01178B84"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an analysis of the branch’s overall investment performance during the reporting period and also by relevant asset class; </w:t>
      </w:r>
    </w:p>
    <w:p w14:paraId="7F4FF1E2"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about any gains or losses;</w:t>
      </w:r>
    </w:p>
    <w:p w14:paraId="38FF6E61"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projections of the branch's expected investment performance, with information on significant factors that might affect such investment performance, over its business planning time period;</w:t>
      </w:r>
    </w:p>
    <w:p w14:paraId="3A3A473F"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the key assumptions which the branch makes in its investment decisions with respect to the movement of interest rates, exchange rates, and other relevant market parameters, over its business planning time period as shown in that branch's </w:t>
      </w:r>
      <w:r w:rsidRPr="00BA1C1B">
        <w:rPr>
          <w:rFonts w:ascii="Verdana" w:hAnsi="Verdana"/>
        </w:rPr>
        <w:t>specific accounts</w:t>
      </w:r>
      <w:r w:rsidRPr="00BA1C1B">
        <w:rPr>
          <w:rFonts w:ascii="Verdana" w:hAnsi="Verdana"/>
          <w:lang w:eastAsia="de-DE"/>
        </w:rPr>
        <w:t>.;</w:t>
      </w:r>
    </w:p>
    <w:p w14:paraId="68CC04B7"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about any branch investments in tradable securities or other financial instruments based on repackaged loans, and the undertaking's risk management procedures in respect of such securities or instruments in respect of branch operations.</w:t>
      </w:r>
    </w:p>
    <w:p w14:paraId="75DDCF99"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Performance of other activities </w:t>
      </w:r>
    </w:p>
    <w:p w14:paraId="597208BB"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describe their other material income and expenses in respect of branch operations incurred over the reporting period together with a comparison of the information with that reported on the previous reporting period.</w:t>
      </w:r>
    </w:p>
    <w:p w14:paraId="06C5DA35"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 xml:space="preserve">country insurance undertakings should report information of any material income and expenses in respect of branch operations, other than underwriting or investment income and expenses, over the undertaking's business planning time period. </w:t>
      </w:r>
    </w:p>
    <w:p w14:paraId="6F50E8C9"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0DFF5671" w14:textId="77777777" w:rsidR="0046238A" w:rsidRPr="00BA1C1B" w:rsidRDefault="0046238A" w:rsidP="007512B2">
      <w:pPr>
        <w:numPr>
          <w:ilvl w:val="0"/>
          <w:numId w:val="19"/>
        </w:numPr>
        <w:spacing w:before="120" w:after="120"/>
        <w:ind w:left="709" w:hanging="709"/>
        <w:jc w:val="both"/>
        <w:rPr>
          <w:rFonts w:ascii="Verdana" w:hAnsi="Verdana"/>
          <w:lang w:val="en-US"/>
        </w:rPr>
      </w:pPr>
      <w:r>
        <w:rPr>
          <w:rFonts w:ascii="Verdana" w:hAnsi="Verdana"/>
        </w:rPr>
        <w:t>Third-</w:t>
      </w:r>
      <w:r w:rsidRPr="00BA1C1B">
        <w:rPr>
          <w:rFonts w:ascii="Verdana" w:hAnsi="Verdana"/>
        </w:rPr>
        <w:t>country insurance undertakings should report in a separate section any other material information regarding their branch business and performance</w:t>
      </w:r>
      <w:r w:rsidRPr="00BA1C1B">
        <w:rPr>
          <w:rFonts w:ascii="Verdana" w:hAnsi="Verdana"/>
          <w:lang w:val="en-US"/>
        </w:rPr>
        <w:t>.</w:t>
      </w:r>
    </w:p>
    <w:p w14:paraId="17A3E46D"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System of Governance </w:t>
      </w:r>
    </w:p>
    <w:p w14:paraId="057EE5F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General information on the system of governance</w:t>
      </w:r>
    </w:p>
    <w:p w14:paraId="704A042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general governance requirement in respect of branch operations:</w:t>
      </w:r>
    </w:p>
    <w:p w14:paraId="628F60C7"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allowing the supervisory authority to gain a good understanding of the system of governance with regard to </w:t>
      </w:r>
      <w:r>
        <w:rPr>
          <w:rFonts w:ascii="Verdana" w:hAnsi="Verdana"/>
          <w:lang w:eastAsia="de-DE"/>
        </w:rPr>
        <w:t xml:space="preserve">the </w:t>
      </w:r>
      <w:r w:rsidRPr="00BA1C1B">
        <w:rPr>
          <w:rFonts w:ascii="Verdana" w:hAnsi="Verdana"/>
          <w:lang w:eastAsia="de-DE"/>
        </w:rPr>
        <w:t>branch operations and to assess its appropriateness  to the branch’s business strategy and operations;</w:t>
      </w:r>
    </w:p>
    <w:p w14:paraId="3180AD1A"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on the structure of the administrative, management or supervisory bodies of the </w:t>
      </w:r>
      <w:r>
        <w:rPr>
          <w:rFonts w:ascii="Verdana" w:hAnsi="Verdana"/>
          <w:lang w:eastAsia="de-DE"/>
        </w:rPr>
        <w:t>third-country insurance undertaking</w:t>
      </w:r>
      <w:r w:rsidRPr="00BA1C1B">
        <w:rPr>
          <w:rFonts w:ascii="Verdana" w:hAnsi="Verdana"/>
          <w:lang w:eastAsia="de-DE"/>
        </w:rPr>
        <w:t xml:space="preserve">, providing a description of their main roles and responsibilities and a brief description in relation to the branch operations of the segregation of responsibilities within these bodies, in particular whether relevant committees exist within </w:t>
      </w:r>
      <w:r w:rsidRPr="00BA1C1B">
        <w:rPr>
          <w:rFonts w:ascii="Verdana" w:hAnsi="Verdana"/>
          <w:lang w:eastAsia="de-DE"/>
        </w:rPr>
        <w:lastRenderedPageBreak/>
        <w:t>them, as well as a description of the main roles and responsibilities of the general representative of the branch, any person who effectively run or who may influence branch operations and persons responsible for key functions with regard to branch operations;</w:t>
      </w:r>
    </w:p>
    <w:p w14:paraId="307D8D1F"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on the remuneration policy and practices in relation to the branch, including:</w:t>
      </w:r>
    </w:p>
    <w:p w14:paraId="5B9BAD76" w14:textId="57C2F06E" w:rsidR="0046238A" w:rsidRPr="00BA1C1B" w:rsidRDefault="0046238A" w:rsidP="007512B2">
      <w:pPr>
        <w:numPr>
          <w:ilvl w:val="2"/>
          <w:numId w:val="19"/>
        </w:numPr>
        <w:tabs>
          <w:tab w:val="left" w:pos="2552"/>
        </w:tabs>
        <w:spacing w:before="120" w:after="120"/>
        <w:ind w:firstLine="194"/>
        <w:jc w:val="both"/>
        <w:rPr>
          <w:rFonts w:ascii="Verdana" w:hAnsi="Verdana"/>
          <w:lang w:eastAsia="de-DE"/>
        </w:rPr>
      </w:pPr>
      <w:r w:rsidRPr="00BA1C1B">
        <w:rPr>
          <w:rFonts w:ascii="Verdana" w:hAnsi="Verdana"/>
          <w:lang w:eastAsia="de-DE"/>
        </w:rPr>
        <w:t>the main principles of the policy</w:t>
      </w:r>
      <w:r w:rsidR="00BF092C">
        <w:rPr>
          <w:rFonts w:ascii="Verdana" w:hAnsi="Verdana"/>
          <w:lang w:eastAsia="de-DE"/>
        </w:rPr>
        <w:t>;</w:t>
      </w:r>
      <w:r w:rsidRPr="00BA1C1B">
        <w:rPr>
          <w:rFonts w:ascii="Verdana" w:hAnsi="Verdana"/>
          <w:lang w:eastAsia="de-DE"/>
        </w:rPr>
        <w:t xml:space="preserve"> </w:t>
      </w:r>
    </w:p>
    <w:p w14:paraId="7E5A617A" w14:textId="77777777" w:rsidR="0046238A" w:rsidRPr="00BA1C1B" w:rsidRDefault="0046238A" w:rsidP="007512B2">
      <w:pPr>
        <w:numPr>
          <w:ilvl w:val="2"/>
          <w:numId w:val="19"/>
        </w:numPr>
        <w:tabs>
          <w:tab w:val="left" w:pos="1843"/>
          <w:tab w:val="left" w:pos="2552"/>
        </w:tabs>
        <w:spacing w:before="120" w:after="120"/>
        <w:ind w:left="2552" w:hanging="1134"/>
        <w:jc w:val="both"/>
        <w:rPr>
          <w:rFonts w:ascii="Verdana" w:hAnsi="Verdana"/>
          <w:lang w:eastAsia="de-DE"/>
        </w:rPr>
      </w:pPr>
      <w:r w:rsidRPr="00BA1C1B">
        <w:rPr>
          <w:rFonts w:ascii="Verdana" w:hAnsi="Verdana"/>
          <w:lang w:eastAsia="de-DE"/>
        </w:rPr>
        <w:t xml:space="preserve">how the undertaking’s remuneration policies and practices in respect of </w:t>
      </w:r>
      <w:r>
        <w:rPr>
          <w:rFonts w:ascii="Verdana" w:hAnsi="Verdana"/>
          <w:lang w:eastAsia="de-DE"/>
        </w:rPr>
        <w:t xml:space="preserve">the </w:t>
      </w:r>
      <w:r w:rsidRPr="00BA1C1B">
        <w:rPr>
          <w:rFonts w:ascii="Verdana" w:hAnsi="Verdana"/>
          <w:lang w:eastAsia="de-DE"/>
        </w:rPr>
        <w:t>branch operations are consistent with and promote sound and effective risk management and do not encourage excessive risk taking.</w:t>
      </w:r>
    </w:p>
    <w:p w14:paraId="6C5A8ED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information on how risk management, internal audit, compliance and actuarial function are in place for the branch and whether these functions are dedicated exclusively to branch operations or whether they are exercised by the undertaking’s head office and applied to branch operations. </w:t>
      </w:r>
    </w:p>
    <w:p w14:paraId="6925A763"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information referred to in the previous paragraph includes an explanation of how the functions have the necessary authority, resources, professional qualifications, knowledge, experience and operational independence or, in the case of the internal audit function, full independence, to carry out their tasks and how they report to and advise the administrative, management or supervisory body of the branch and how they are integrated into the decision making process for </w:t>
      </w:r>
      <w:r>
        <w:rPr>
          <w:rFonts w:ascii="Verdana" w:hAnsi="Verdana"/>
        </w:rPr>
        <w:t xml:space="preserve">the </w:t>
      </w:r>
      <w:r w:rsidRPr="00BA1C1B">
        <w:rPr>
          <w:rFonts w:ascii="Verdana" w:hAnsi="Verdana"/>
        </w:rPr>
        <w:t xml:space="preserve">branch operations. </w:t>
      </w:r>
    </w:p>
    <w:p w14:paraId="64937B78"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provide information on the administrative and accounting procedures related to branch operations.</w:t>
      </w:r>
    </w:p>
    <w:p w14:paraId="08F4AA20" w14:textId="77777777" w:rsidR="0046238A" w:rsidRPr="00BA1C1B" w:rsidRDefault="0046238A" w:rsidP="007512B2">
      <w:pPr>
        <w:numPr>
          <w:ilvl w:val="0"/>
          <w:numId w:val="19"/>
        </w:numPr>
        <w:spacing w:before="120" w:after="120"/>
        <w:ind w:left="709" w:hanging="709"/>
        <w:jc w:val="both"/>
        <w:rPr>
          <w:rFonts w:ascii="Verdana" w:hAnsi="Verdana"/>
          <w:b/>
          <w:lang w:eastAsia="de-DE"/>
        </w:rPr>
      </w:pPr>
      <w:r w:rsidRPr="00BA1C1B">
        <w:rPr>
          <w:rFonts w:ascii="Verdana" w:hAnsi="Verdana"/>
        </w:rPr>
        <w:t xml:space="preserve">Third-country insurance undertakings should provide information on the records it maintains in order to identify the location of all branch assets and information to enable any person charged with the winding-up </w:t>
      </w:r>
      <w:r>
        <w:rPr>
          <w:rFonts w:ascii="Verdana" w:hAnsi="Verdana"/>
        </w:rPr>
        <w:t xml:space="preserve">of </w:t>
      </w:r>
      <w:r w:rsidRPr="00BA1C1B">
        <w:rPr>
          <w:rFonts w:ascii="Verdana" w:hAnsi="Verdana"/>
        </w:rPr>
        <w:t xml:space="preserve">the undertaking to take control of those assets. </w:t>
      </w:r>
    </w:p>
    <w:p w14:paraId="2D2F46F2"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Fit and proper requirements</w:t>
      </w:r>
    </w:p>
    <w:p w14:paraId="09C18A0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compliance with the fit and proper requirements in respect of branch operations:</w:t>
      </w:r>
    </w:p>
    <w:p w14:paraId="60D91FC2"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the identity of the general representative of the branch;</w:t>
      </w:r>
    </w:p>
    <w:p w14:paraId="04A440ED"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 xml:space="preserve">the identity of any persons who effectively run or who may influence branch operations; </w:t>
      </w:r>
    </w:p>
    <w:p w14:paraId="2C5B89B5"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the identity of the persons in the undertaking, or external to the undertaking in the case that the undertaking has outsourced key functions that are responsible for key functions within the branch;</w:t>
      </w:r>
    </w:p>
    <w:p w14:paraId="4EBEB4C7"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information on the policies and processes established by the undertaking to ensure that those persons are fit and proper.</w:t>
      </w:r>
    </w:p>
    <w:p w14:paraId="052A0FD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also provide:</w:t>
      </w:r>
    </w:p>
    <w:p w14:paraId="39AE3A8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a description of the specific requirements concerning skills, knowledge and expertise applicable to the persons who effectively run the branch </w:t>
      </w:r>
      <w:r w:rsidRPr="00BA1C1B">
        <w:rPr>
          <w:rFonts w:ascii="Verdana" w:hAnsi="Verdana"/>
        </w:rPr>
        <w:lastRenderedPageBreak/>
        <w:t xml:space="preserve">operations, the general representative of the branch and any other persons that have key functions relating to the branch; and </w:t>
      </w:r>
    </w:p>
    <w:p w14:paraId="6C08AA01" w14:textId="77777777" w:rsidR="0046238A" w:rsidRPr="00BA1C1B" w:rsidRDefault="0046238A" w:rsidP="007512B2">
      <w:pPr>
        <w:numPr>
          <w:ilvl w:val="1"/>
          <w:numId w:val="19"/>
        </w:numPr>
        <w:spacing w:before="120" w:after="120"/>
        <w:ind w:left="1418" w:hanging="709"/>
        <w:jc w:val="both"/>
        <w:rPr>
          <w:rFonts w:ascii="Verdana" w:hAnsi="Verdana"/>
          <w:b/>
          <w:lang w:eastAsia="de-DE"/>
        </w:rPr>
      </w:pPr>
      <w:r w:rsidRPr="00BA1C1B">
        <w:rPr>
          <w:rFonts w:ascii="Verdana" w:hAnsi="Verdana"/>
        </w:rPr>
        <w:t xml:space="preserve">a description of the undertaking’s process for assessing the fitness and the propriety of the persons </w:t>
      </w:r>
      <w:r>
        <w:rPr>
          <w:rFonts w:ascii="Verdana" w:hAnsi="Verdana"/>
        </w:rPr>
        <w:t xml:space="preserve">responsible for the </w:t>
      </w:r>
      <w:r w:rsidRPr="00BA1C1B">
        <w:rPr>
          <w:rFonts w:ascii="Verdana" w:hAnsi="Verdana"/>
        </w:rPr>
        <w:t>branch operations, the general representative of the branch and any other persons that have key functions relating to the branch</w:t>
      </w:r>
    </w:p>
    <w:p w14:paraId="55AF31C8" w14:textId="77777777" w:rsidR="00A01A82" w:rsidRDefault="00A01A82">
      <w:pPr>
        <w:rPr>
          <w:rFonts w:ascii="Verdana" w:eastAsiaTheme="minorHAnsi" w:hAnsi="Verdana"/>
          <w:b/>
        </w:rPr>
      </w:pPr>
      <w:r>
        <w:rPr>
          <w:rFonts w:ascii="Verdana" w:eastAsiaTheme="minorHAnsi" w:hAnsi="Verdana"/>
          <w:b/>
        </w:rPr>
        <w:br w:type="page"/>
      </w:r>
    </w:p>
    <w:p w14:paraId="236EDB75" w14:textId="09B090C9"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 xml:space="preserve">Risk management system including the ORSA </w:t>
      </w:r>
    </w:p>
    <w:p w14:paraId="6EE5CAF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their risk management system of branch operations:</w:t>
      </w:r>
    </w:p>
    <w:p w14:paraId="00A8D0DC"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the undertaking’s risk management strategies, objectives, processes and reporting procedures in respect of branch operations for each category of risk;</w:t>
      </w:r>
    </w:p>
    <w:p w14:paraId="67613AF2"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is able to effectively identify, measure, monitor, manage and report, on a continuous basis, the risks on an individual and aggregated level, to which the branch is or could be exposed;</w:t>
      </w:r>
    </w:p>
    <w:p w14:paraId="181F4A82"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fulfils its obligation to invest all its assets in accordance with the 'prudent person principle' set out in Article 132 of Directive 2009/138/EC;</w:t>
      </w:r>
    </w:p>
    <w:p w14:paraId="037A0E15"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verifies the appropriateness of credit assessments from external credit assessments institutions including how and the extent to which credit assessments from external credit assessments institutions are used;</w:t>
      </w:r>
    </w:p>
    <w:p w14:paraId="7C7AFF96" w14:textId="318DE74D"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results of the assessments regarding the extrapolation of the risk-free rate, the matching adjustment and the volatility adjustment, as referred to in Article </w:t>
      </w:r>
      <w:r w:rsidR="006B5AD2">
        <w:rPr>
          <w:rFonts w:ascii="Verdana" w:hAnsi="Verdana"/>
          <w:sz w:val="22"/>
          <w:szCs w:val="22"/>
        </w:rPr>
        <w:t>44(2a) of Directive 2009/138/EC;</w:t>
      </w:r>
    </w:p>
    <w:p w14:paraId="15AC1408" w14:textId="399FD0CC"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a description of how the risk management system including the risk management function is implemented and integrated into the organisational structure and decision-making processes of the undertaking </w:t>
      </w:r>
      <w:r w:rsidR="006B5AD2">
        <w:rPr>
          <w:rFonts w:ascii="Verdana" w:hAnsi="Verdana"/>
          <w:sz w:val="22"/>
          <w:szCs w:val="22"/>
        </w:rPr>
        <w:t>in respect of branch operations;</w:t>
      </w:r>
    </w:p>
    <w:p w14:paraId="05893806"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significant risks that the branch is exposed to over the life-time of its insurance and reinsurance obligations, and how these have been captured in its overall solvency needs;</w:t>
      </w:r>
    </w:p>
    <w:p w14:paraId="7C36EBBC" w14:textId="56E36AF3"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information on any material risks that the undertaking has identified and that are not fully included in the calculation of the branch SCR as set out in Article </w:t>
      </w:r>
      <w:r w:rsidR="006B5AD2">
        <w:rPr>
          <w:rFonts w:ascii="Verdana" w:hAnsi="Verdana"/>
          <w:sz w:val="22"/>
          <w:szCs w:val="22"/>
        </w:rPr>
        <w:t>101(4) of Directive 2009/138/EC</w:t>
      </w:r>
      <w:r w:rsidRPr="006B5AD2">
        <w:rPr>
          <w:rFonts w:ascii="Verdana" w:hAnsi="Verdana"/>
          <w:sz w:val="22"/>
          <w:szCs w:val="22"/>
        </w:rPr>
        <w:t>.</w:t>
      </w:r>
    </w:p>
    <w:p w14:paraId="61FE75EB"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 xml:space="preserve">country insurance undertakings regarding their ORSAs in respect of </w:t>
      </w:r>
      <w:r>
        <w:rPr>
          <w:rFonts w:ascii="Verdana" w:hAnsi="Verdana"/>
        </w:rPr>
        <w:t xml:space="preserve">the </w:t>
      </w:r>
      <w:r w:rsidRPr="00BA1C1B">
        <w:rPr>
          <w:rFonts w:ascii="Verdana" w:hAnsi="Verdana"/>
        </w:rPr>
        <w:t>branch operations which were performed over the reporting period:</w:t>
      </w:r>
    </w:p>
    <w:p w14:paraId="79FEA47D"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a description of how the ORSA in respect of branch operations is performed, internally documented and reviewed, and how it is integrated into the management process and into the decision-making process of the branch</w:t>
      </w:r>
      <w:r w:rsidRPr="000E24CE">
        <w:rPr>
          <w:rFonts w:ascii="Verdana" w:hAnsi="Verdana"/>
          <w:color w:val="000000"/>
          <w:sz w:val="22"/>
          <w:szCs w:val="22"/>
          <w:lang w:val="en-US" w:eastAsia="en-GB"/>
        </w:rPr>
        <w:t>;</w:t>
      </w:r>
      <w:r w:rsidRPr="000E24CE" w:rsidDel="0052371B">
        <w:rPr>
          <w:rFonts w:ascii="Verdana" w:hAnsi="Verdana"/>
          <w:color w:val="000000"/>
          <w:sz w:val="22"/>
          <w:szCs w:val="22"/>
          <w:lang w:val="en-US" w:eastAsia="en-GB"/>
        </w:rPr>
        <w:t xml:space="preserve"> </w:t>
      </w:r>
    </w:p>
    <w:p w14:paraId="38F953BC"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 xml:space="preserve">in particular, information on assessment of permanent availability of branch assets, adequacy of those assets to cover SCR  </w:t>
      </w:r>
    </w:p>
    <w:p w14:paraId="500E2498"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a statement explaining how the undertaking has determined its branch solvency needs given its branch risk profile and how its branch capital management activities and its branch risk management system interact with each other.</w:t>
      </w:r>
    </w:p>
    <w:p w14:paraId="00ABC74A" w14:textId="77777777" w:rsidR="00A01A82" w:rsidRDefault="00A01A82">
      <w:pPr>
        <w:rPr>
          <w:rFonts w:ascii="Verdana" w:eastAsiaTheme="minorHAnsi" w:hAnsi="Verdana"/>
          <w:b/>
        </w:rPr>
      </w:pPr>
      <w:r>
        <w:rPr>
          <w:rFonts w:ascii="Verdana" w:eastAsiaTheme="minorHAnsi" w:hAnsi="Verdana"/>
          <w:b/>
        </w:rPr>
        <w:br w:type="page"/>
      </w:r>
    </w:p>
    <w:p w14:paraId="499EB821" w14:textId="3D15996D" w:rsidR="0046238A" w:rsidRPr="00BA1C1B" w:rsidRDefault="0046238A" w:rsidP="00D61FA5">
      <w:pPr>
        <w:spacing w:before="240" w:after="240"/>
        <w:jc w:val="both"/>
        <w:rPr>
          <w:rFonts w:ascii="Verdana" w:hAnsi="Verdana"/>
          <w:b/>
          <w:lang w:eastAsia="de-DE"/>
        </w:rPr>
      </w:pPr>
      <w:r w:rsidRPr="00BA1C1B">
        <w:rPr>
          <w:rFonts w:ascii="Verdana" w:eastAsiaTheme="minorHAnsi" w:hAnsi="Verdana"/>
          <w:b/>
        </w:rPr>
        <w:lastRenderedPageBreak/>
        <w:t>Internal control system</w:t>
      </w:r>
    </w:p>
    <w:p w14:paraId="690AACD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internal control system in respect of branch operations:</w:t>
      </w:r>
    </w:p>
    <w:p w14:paraId="5994BE2B"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control system for branch operations;</w:t>
      </w:r>
    </w:p>
    <w:p w14:paraId="3A505535"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information on the key procedures that the internal control system, in respect of branch operations, includes;</w:t>
      </w:r>
    </w:p>
    <w:p w14:paraId="36E1A713" w14:textId="77777777" w:rsidR="0046238A" w:rsidRPr="000E24CE" w:rsidRDefault="0046238A" w:rsidP="007512B2">
      <w:pPr>
        <w:pStyle w:val="BodyText2"/>
        <w:numPr>
          <w:ilvl w:val="0"/>
          <w:numId w:val="38"/>
        </w:numPr>
        <w:spacing w:line="276" w:lineRule="auto"/>
        <w:ind w:left="1134" w:hanging="425"/>
        <w:jc w:val="both"/>
        <w:rPr>
          <w:rFonts w:ascii="Verdana" w:hAnsi="Verdana"/>
          <w:b/>
          <w:sz w:val="22"/>
          <w:szCs w:val="22"/>
        </w:rPr>
      </w:pPr>
      <w:r w:rsidRPr="000E24CE">
        <w:rPr>
          <w:rFonts w:ascii="Verdana" w:hAnsi="Verdana"/>
          <w:sz w:val="22"/>
          <w:szCs w:val="22"/>
        </w:rPr>
        <w:t>a description of how the compliance function with regard to the branch operations is implemented, including information on the activities performed in accordance with Article 46(2) of Directive 2009/138/EC in respect of branch operations during the reporting period;</w:t>
      </w:r>
    </w:p>
    <w:p w14:paraId="09D34F0F"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information on the undertaking’s compliance policy for branch operations;</w:t>
      </w:r>
    </w:p>
    <w:p w14:paraId="0A8CAD0C"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the process for reviewing this compliance policy, the frequency of review and any significant changes to policy during the reporting period.</w:t>
      </w:r>
    </w:p>
    <w:p w14:paraId="51D75A7C"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Internal audit function</w:t>
      </w:r>
    </w:p>
    <w:p w14:paraId="4DB7189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w:t>
      </w:r>
      <w:r>
        <w:rPr>
          <w:rFonts w:ascii="Verdana" w:hAnsi="Verdana"/>
        </w:rPr>
        <w:t xml:space="preserve"> third-</w:t>
      </w:r>
      <w:r w:rsidRPr="00BA1C1B">
        <w:rPr>
          <w:rFonts w:ascii="Verdana" w:hAnsi="Verdana"/>
        </w:rPr>
        <w:t>country insurance undertakings regarding their internal audit function in respect of branch operations</w:t>
      </w:r>
    </w:p>
    <w:p w14:paraId="0436647F"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how the undertaking’s internal audit function for the branch is implemented;</w:t>
      </w:r>
    </w:p>
    <w:p w14:paraId="35BA0C3E"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internal audits for the branch performed during the reporting period, with a summary of the material findings and recommendations reported to the undertaking’s administrative, management or supervisory body, and any action  taken with respect to these findings and recommendations;</w:t>
      </w:r>
    </w:p>
    <w:p w14:paraId="3D747187"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audit policy in respect of branch operations, the process for reviewing that policy, the frequency of review and any significant changes to that policy during the reporting period;</w:t>
      </w:r>
    </w:p>
    <w:p w14:paraId="37341B10"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 xml:space="preserve">a description of the undertaking’s internal audit plan in respect of branch </w:t>
      </w:r>
      <w:proofErr w:type="gramStart"/>
      <w:r w:rsidRPr="000E24CE">
        <w:rPr>
          <w:rFonts w:ascii="Verdana" w:hAnsi="Verdana"/>
          <w:sz w:val="22"/>
          <w:szCs w:val="22"/>
        </w:rPr>
        <w:t>operations,  including</w:t>
      </w:r>
      <w:proofErr w:type="gramEnd"/>
      <w:r w:rsidRPr="000E24CE">
        <w:rPr>
          <w:rFonts w:ascii="Verdana" w:hAnsi="Verdana"/>
          <w:sz w:val="22"/>
          <w:szCs w:val="22"/>
        </w:rPr>
        <w:t xml:space="preserve"> future internal audits and the rationale for these future audits.</w:t>
      </w:r>
    </w:p>
    <w:p w14:paraId="64FF188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Actuarial function </w:t>
      </w:r>
    </w:p>
    <w:p w14:paraId="295D5D45"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disclose a description of how their actuarial function in respect of branch operations is implemented.</w:t>
      </w:r>
    </w:p>
    <w:p w14:paraId="7DCFF28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 regard to the actuarial function in respect of </w:t>
      </w:r>
      <w:r>
        <w:rPr>
          <w:rFonts w:ascii="Verdana" w:hAnsi="Verdana"/>
        </w:rPr>
        <w:t xml:space="preserve">the </w:t>
      </w:r>
      <w:r w:rsidRPr="00BA1C1B">
        <w:rPr>
          <w:rFonts w:ascii="Verdana" w:hAnsi="Verdana"/>
        </w:rPr>
        <w:t xml:space="preserve">branch operations third-country insurance undertakings </w:t>
      </w:r>
      <w:r>
        <w:rPr>
          <w:rFonts w:ascii="Verdana" w:hAnsi="Verdana"/>
        </w:rPr>
        <w:t xml:space="preserve">should </w:t>
      </w:r>
      <w:r w:rsidRPr="00BA1C1B">
        <w:rPr>
          <w:rFonts w:ascii="Verdana" w:hAnsi="Verdana"/>
        </w:rPr>
        <w:t>report an overview of the activities undertaken by the actuarial function in respect of branch operations in each of its areas of responsibility during the reporting period, describing how the actuarial function contributes to the effective implementation of the risk management system of branch operations.</w:t>
      </w:r>
    </w:p>
    <w:p w14:paraId="2D9957A1"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 xml:space="preserve">Outsourcing </w:t>
      </w:r>
    </w:p>
    <w:p w14:paraId="6EC382BE"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outsourcing in respect of branch operations:</w:t>
      </w:r>
    </w:p>
    <w:p w14:paraId="5D7BA942"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sz w:val="22"/>
          <w:szCs w:val="22"/>
        </w:rPr>
        <w:t>a description of their outsourcing policy in respect of branch operations, the outsourcing of any critical or important operational functions or activities in respect of branch operations</w:t>
      </w:r>
      <w:r w:rsidRPr="00BE16F9" w:rsidDel="001A6CD7">
        <w:rPr>
          <w:rFonts w:ascii="Verdana" w:hAnsi="Verdana"/>
          <w:sz w:val="22"/>
          <w:szCs w:val="22"/>
        </w:rPr>
        <w:t xml:space="preserve"> </w:t>
      </w:r>
      <w:r w:rsidRPr="00BE16F9">
        <w:rPr>
          <w:rFonts w:ascii="Verdana" w:hAnsi="Verdana"/>
          <w:sz w:val="22"/>
          <w:szCs w:val="22"/>
        </w:rPr>
        <w:t>and the jurisdiction in which the service providers of such functions or activities are located;</w:t>
      </w:r>
    </w:p>
    <w:p w14:paraId="6C193AF1"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sz w:val="22"/>
          <w:szCs w:val="22"/>
        </w:rPr>
        <w:t>where the undertaking outsources any critical or important operational functions or activities of the branch,  the rationale for the outsourcing and evidence that appropriate oversight and safeguards are in place;</w:t>
      </w:r>
    </w:p>
    <w:p w14:paraId="1EF713F5"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color w:val="000000"/>
          <w:sz w:val="22"/>
          <w:szCs w:val="22"/>
          <w:lang w:val="en-US" w:eastAsia="en-GB"/>
        </w:rPr>
        <w:t>a list of the persons responsible for the outsourced key functions in the service provider.</w:t>
      </w:r>
    </w:p>
    <w:p w14:paraId="07C560C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3A1E12F9" w14:textId="77777777" w:rsidR="0046238A" w:rsidRPr="00BA1C1B" w:rsidRDefault="0046238A" w:rsidP="007512B2">
      <w:pPr>
        <w:numPr>
          <w:ilvl w:val="0"/>
          <w:numId w:val="19"/>
        </w:numPr>
        <w:spacing w:before="120" w:after="120"/>
        <w:ind w:left="709" w:hanging="709"/>
        <w:jc w:val="both"/>
        <w:rPr>
          <w:rFonts w:ascii="Verdana" w:eastAsiaTheme="minorHAnsi" w:hAnsi="Verdana" w:cstheme="minorBidi"/>
        </w:rPr>
      </w:pPr>
      <w:r w:rsidRPr="00BA1C1B">
        <w:rPr>
          <w:rFonts w:ascii="Verdana" w:hAnsi="Verdana"/>
        </w:rPr>
        <w:t>Third-country insurance undertakings should report any other material information regarding their system of governance in relation to branch operations</w:t>
      </w:r>
    </w:p>
    <w:p w14:paraId="2ECAB72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Risk profile </w:t>
      </w:r>
    </w:p>
    <w:p w14:paraId="31E0D45E"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report qualitative and quantitative information regarding the branch  risk profile, in accordance with paragraphs 27 to 31, separately for the following categories of risk:</w:t>
      </w:r>
    </w:p>
    <w:p w14:paraId="193FF065"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underwriting risk;</w:t>
      </w:r>
    </w:p>
    <w:p w14:paraId="44F608CA"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market risk;</w:t>
      </w:r>
    </w:p>
    <w:p w14:paraId="2DBC0CC5"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credit risk;</w:t>
      </w:r>
    </w:p>
    <w:p w14:paraId="22429DD0"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liquidity risk;</w:t>
      </w:r>
    </w:p>
    <w:p w14:paraId="70ACE989"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operational risk;</w:t>
      </w:r>
    </w:p>
    <w:p w14:paraId="348816B8"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other material risks.</w:t>
      </w:r>
    </w:p>
    <w:p w14:paraId="63DC648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risk exposure of the branch, including the exposure arising from off-balance sheet positions and the transfer of risk in a securitisation using a legal entity including special purpose vehicles:</w:t>
      </w:r>
    </w:p>
    <w:p w14:paraId="1909D7DA"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description of the measures used to assess these risks within the branch, including any material changes over the reporting period;</w:t>
      </w:r>
    </w:p>
    <w:p w14:paraId="29AA983E" w14:textId="6FC6502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description of the material risks that the branch is exposed to, including any material ch</w:t>
      </w:r>
      <w:r w:rsidR="009F7BE1">
        <w:rPr>
          <w:rFonts w:ascii="Verdana" w:hAnsi="Verdana"/>
          <w:sz w:val="22"/>
          <w:szCs w:val="22"/>
        </w:rPr>
        <w:t>anges over the reporting period;</w:t>
      </w:r>
    </w:p>
    <w:p w14:paraId="109F5865"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an overview of any material risk exposures anticipated over the business planning time period given the undertaking’s business strategy for the branch, and how these risk exposures will be managed;</w:t>
      </w:r>
    </w:p>
    <w:p w14:paraId="4C0ED450" w14:textId="68C4A114"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 xml:space="preserve">where the undertaking has entered into securities lending </w:t>
      </w:r>
      <w:r w:rsidR="0089241C" w:rsidRPr="009F7BE1">
        <w:rPr>
          <w:rFonts w:ascii="Verdana" w:hAnsi="Verdana"/>
          <w:sz w:val="22"/>
          <w:szCs w:val="22"/>
        </w:rPr>
        <w:t>agree</w:t>
      </w:r>
      <w:r w:rsidRPr="009F7BE1">
        <w:rPr>
          <w:rFonts w:ascii="Verdana" w:hAnsi="Verdana"/>
          <w:sz w:val="22"/>
          <w:szCs w:val="22"/>
        </w:rPr>
        <w:t xml:space="preserve">ments or securities repurchase </w:t>
      </w:r>
      <w:r w:rsidR="0089241C" w:rsidRPr="009F7BE1">
        <w:rPr>
          <w:rFonts w:ascii="Verdana" w:hAnsi="Verdana"/>
          <w:sz w:val="22"/>
          <w:szCs w:val="22"/>
        </w:rPr>
        <w:t>agree</w:t>
      </w:r>
      <w:r w:rsidRPr="009F7BE1">
        <w:rPr>
          <w:rFonts w:ascii="Verdana" w:hAnsi="Verdana"/>
          <w:sz w:val="22"/>
          <w:szCs w:val="22"/>
        </w:rPr>
        <w:t>ments in respect of branch operations, information on its characteristics;</w:t>
      </w:r>
    </w:p>
    <w:p w14:paraId="6FF3CEB0"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lastRenderedPageBreak/>
        <w:t>where the undertaking sells variable annuities through the branch,  information on guarantee riders and hedging of the guarantees;</w:t>
      </w:r>
    </w:p>
    <w:p w14:paraId="774D16AB"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complete list of branch assets and how those assets have been invested in accordance with the 'prudent person principle' set out in Article 132 of Directive 2009/138/EC so risks are properly managed;</w:t>
      </w:r>
    </w:p>
    <w:p w14:paraId="636B8B24"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With resp</w:t>
      </w:r>
      <w:r>
        <w:rPr>
          <w:rFonts w:ascii="Verdana" w:hAnsi="Verdana"/>
        </w:rPr>
        <w:t>ect to risk concentration third-</w:t>
      </w:r>
      <w:r w:rsidRPr="00BA1C1B">
        <w:rPr>
          <w:rFonts w:ascii="Verdana" w:hAnsi="Verdana"/>
        </w:rPr>
        <w:t xml:space="preserve">country insurance undertakings should report information on the material risk concentrations to which the branch is exposed to and </w:t>
      </w:r>
      <w:r w:rsidRPr="00BA1C1B">
        <w:rPr>
          <w:rFonts w:ascii="Verdana" w:hAnsi="Verdana"/>
          <w:lang w:eastAsia="en-GB"/>
        </w:rPr>
        <w:t>an overview of any future risk concentrations anticipated over the business planning time horizon given the undertaking’s business strategy for the branch, and how these risk concentrations will be managed</w:t>
      </w:r>
      <w:r w:rsidRPr="00BA1C1B">
        <w:rPr>
          <w:rFonts w:ascii="Verdana" w:hAnsi="Verdana"/>
        </w:rPr>
        <w:t>.</w:t>
      </w:r>
    </w:p>
    <w:p w14:paraId="2FC5C902"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risk-mitigation techniques in respect of branch operations:</w:t>
      </w:r>
    </w:p>
    <w:p w14:paraId="51BD1EE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description of the techniques used for mitigating risks in relation to branch operations, and the processes for monitoring the continued effectiveness of these risk-mitigation techniques;</w:t>
      </w:r>
    </w:p>
    <w:p w14:paraId="5F576134"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a description of any material risk-mitigation techniques in respect of branch operations that the undertaking is considering purchasing or entering over the business planning time horizon given the undertaking’s business strategy for the branch, and the rationale for and effect of such risk mitigation techniques;</w:t>
      </w:r>
    </w:p>
    <w:p w14:paraId="3638E733" w14:textId="37FA34EB"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rPr>
        <w:t xml:space="preserve">With regard to their liquidity risk, </w:t>
      </w:r>
      <w:r w:rsidR="007A49E7" w:rsidRPr="00BA1C1B">
        <w:rPr>
          <w:rFonts w:ascii="Verdana" w:hAnsi="Verdana"/>
        </w:rPr>
        <w:t>third</w:t>
      </w:r>
      <w:r w:rsidR="007A49E7">
        <w:rPr>
          <w:rFonts w:ascii="Verdana" w:hAnsi="Verdana"/>
        </w:rPr>
        <w:t>-</w:t>
      </w:r>
      <w:r w:rsidRPr="00BA1C1B">
        <w:rPr>
          <w:rFonts w:ascii="Verdana" w:hAnsi="Verdana"/>
        </w:rPr>
        <w:t xml:space="preserve">country insurance undertakings should report the expected profit included in future premiums in respect of branch operations as calculated in accordance with Article 260(2) of </w:t>
      </w:r>
      <w:r w:rsidRPr="00844FCF">
        <w:rPr>
          <w:rFonts w:ascii="Verdana" w:hAnsi="Verdana"/>
        </w:rPr>
        <w:t>the Commission Delegated Regulation (EU) 2015/35</w:t>
      </w:r>
      <w:r w:rsidRPr="00BA1C1B">
        <w:rPr>
          <w:rFonts w:ascii="Verdana" w:hAnsi="Verdana"/>
        </w:rPr>
        <w:t xml:space="preserve"> for each line of business, the result of the qualitative assessment referred to in Article 260(1)(d)(ii) of </w:t>
      </w:r>
      <w:r w:rsidR="00B9633A" w:rsidRPr="00844FCF">
        <w:rPr>
          <w:rFonts w:ascii="Verdana" w:hAnsi="Verdana"/>
        </w:rPr>
        <w:t>the Commission Delegated Regulation (EU) 2015/35</w:t>
      </w:r>
      <w:r w:rsidRPr="00BA1C1B">
        <w:rPr>
          <w:rFonts w:ascii="Verdana" w:hAnsi="Verdana"/>
        </w:rPr>
        <w:t xml:space="preserve"> and a description of the methods and main assumptions used to calculate the expected profit included in future premiums;</w:t>
      </w:r>
    </w:p>
    <w:p w14:paraId="400A6B2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risk sensitivity in respect of branch operations:</w:t>
      </w:r>
    </w:p>
    <w:p w14:paraId="6ABE09B7" w14:textId="14CCE900" w:rsidR="0046238A" w:rsidRPr="000F20A3" w:rsidRDefault="0046238A" w:rsidP="007512B2">
      <w:pPr>
        <w:pStyle w:val="BodyText2"/>
        <w:numPr>
          <w:ilvl w:val="0"/>
          <w:numId w:val="43"/>
        </w:numPr>
        <w:spacing w:line="276" w:lineRule="auto"/>
        <w:ind w:left="1134" w:hanging="425"/>
        <w:jc w:val="both"/>
        <w:rPr>
          <w:rFonts w:ascii="Verdana" w:hAnsi="Verdana"/>
          <w:sz w:val="22"/>
          <w:szCs w:val="22"/>
        </w:rPr>
      </w:pPr>
      <w:r w:rsidRPr="000F20A3">
        <w:rPr>
          <w:rFonts w:ascii="Verdana" w:hAnsi="Verdana"/>
          <w:sz w:val="22"/>
          <w:szCs w:val="22"/>
        </w:rPr>
        <w:t xml:space="preserve">a description of the relevant stress tests and scenario analysis referred to in Article 259 (3) of </w:t>
      </w:r>
      <w:r w:rsidR="00B9633A" w:rsidRPr="000F20A3">
        <w:rPr>
          <w:rFonts w:ascii="Verdana" w:hAnsi="Verdana"/>
          <w:sz w:val="22"/>
          <w:szCs w:val="22"/>
        </w:rPr>
        <w:t>the Commission Delegated Regulation (EU) 2015/35</w:t>
      </w:r>
      <w:r w:rsidRPr="000F20A3">
        <w:rPr>
          <w:rFonts w:ascii="Verdana" w:hAnsi="Verdana"/>
          <w:sz w:val="22"/>
          <w:szCs w:val="22"/>
        </w:rPr>
        <w:t xml:space="preserve"> carried out by the undertaking in relation to branch operations including their outcome;</w:t>
      </w:r>
    </w:p>
    <w:p w14:paraId="17879B0F" w14:textId="77777777" w:rsidR="0046238A" w:rsidRPr="000F20A3" w:rsidRDefault="0046238A" w:rsidP="007512B2">
      <w:pPr>
        <w:pStyle w:val="BodyText2"/>
        <w:numPr>
          <w:ilvl w:val="0"/>
          <w:numId w:val="43"/>
        </w:numPr>
        <w:spacing w:line="276" w:lineRule="auto"/>
        <w:ind w:left="1134" w:hanging="425"/>
        <w:jc w:val="both"/>
        <w:rPr>
          <w:rFonts w:ascii="Verdana" w:hAnsi="Verdana"/>
          <w:sz w:val="22"/>
          <w:szCs w:val="22"/>
        </w:rPr>
      </w:pPr>
      <w:r w:rsidRPr="000F20A3">
        <w:rPr>
          <w:rFonts w:ascii="Verdana" w:hAnsi="Verdana"/>
          <w:sz w:val="22"/>
          <w:szCs w:val="22"/>
        </w:rPr>
        <w:t>a description of the methods used and the main assumptions underlying those stress tests and scenario analysis.</w:t>
      </w:r>
    </w:p>
    <w:p w14:paraId="48543F4D" w14:textId="574ACFD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Within the information reported with regard to branch risk exposure, </w:t>
      </w:r>
      <w:r>
        <w:rPr>
          <w:rFonts w:ascii="Verdana" w:hAnsi="Verdana"/>
        </w:rPr>
        <w:t xml:space="preserve">third-country insurance </w:t>
      </w:r>
      <w:r w:rsidRPr="00BA1C1B">
        <w:rPr>
          <w:rFonts w:ascii="Verdana" w:hAnsi="Verdana"/>
        </w:rPr>
        <w:t>undertakings should explain how they ensure that derivatives contribute to the reduction of risks or facilitate efficient portfolio management in respect of branch operations.</w:t>
      </w:r>
    </w:p>
    <w:p w14:paraId="630D574B"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undertakings should report quantitative data which is necessary for determining dependencies between the risks covered by the risk modules and sub-modules of the branch Basic SCR.</w:t>
      </w:r>
    </w:p>
    <w:p w14:paraId="11DACEC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In relation to the use of Special Purpose Vehicles (SPV) in respect of branch operations, third-country insurance undertakings should reported at least information on whether the SPV is authorized under Article 211 of  Directive </w:t>
      </w:r>
      <w:r w:rsidRPr="00BA1C1B">
        <w:rPr>
          <w:rFonts w:ascii="Verdana" w:hAnsi="Verdana"/>
        </w:rPr>
        <w:lastRenderedPageBreak/>
        <w:t>2009/138/EC, what risks are transferred to the SPV and how the fully funded principle is implemented.</w:t>
      </w:r>
    </w:p>
    <w:p w14:paraId="123BB623"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Any other information</w:t>
      </w:r>
    </w:p>
    <w:p w14:paraId="17C70A4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any other material information regarding the risk profile of the branch.</w:t>
      </w:r>
    </w:p>
    <w:p w14:paraId="49E1E3B0" w14:textId="65C06C4E"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Valuation for Solvency Purposes</w:t>
      </w:r>
    </w:p>
    <w:p w14:paraId="79E8C2FB"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Assets </w:t>
      </w:r>
    </w:p>
    <w:p w14:paraId="718D1489"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undertakings should report, separately for each material class of assets, the value of the assets, as well as a description of the bases, methods and main assumptions used for valuation for solvency purposes.</w:t>
      </w:r>
    </w:p>
    <w:p w14:paraId="4C59C7A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Separately for each material class of assets, a quantitative and qualitative explanation of any material differences between the bases, methods and main assumptions used by that undertaking for the valuation for solvency purposes and those used for its valuation in the branch‘s specific accounts.</w:t>
      </w:r>
    </w:p>
    <w:p w14:paraId="2B4C28B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Technical provisions</w:t>
      </w:r>
    </w:p>
    <w:p w14:paraId="23C26A98"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the valuation of the technical provisions in respect of branch operations</w:t>
      </w:r>
      <w:r w:rsidRPr="00BA1C1B" w:rsidDel="009A0E04">
        <w:rPr>
          <w:rFonts w:ascii="Verdana" w:hAnsi="Verdana"/>
        </w:rPr>
        <w:t xml:space="preserve"> </w:t>
      </w:r>
      <w:r w:rsidRPr="00BA1C1B">
        <w:rPr>
          <w:rFonts w:ascii="Verdana" w:hAnsi="Verdana"/>
        </w:rPr>
        <w:t>for branch solvency purposes:</w:t>
      </w:r>
    </w:p>
    <w:p w14:paraId="747FFD97"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separately for each material line of business the value of technical provisions, including the amount of the best estimate and the risk margin, as well as a description of the bases, methods and main assumptions used for their valuation for solvency purposes;</w:t>
      </w:r>
    </w:p>
    <w:p w14:paraId="6D3088C8"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color w:val="000000"/>
          <w:sz w:val="22"/>
          <w:szCs w:val="22"/>
          <w:lang w:val="en-US" w:eastAsia="en-GB"/>
        </w:rPr>
        <w:t xml:space="preserve">separately for each material line of business, a quantitative and qualitative explanation of any material differences between the bases, methods and main assumptions used by that undertaking for the valuation for solvency purposes and those used for their valuation in the </w:t>
      </w:r>
      <w:r w:rsidRPr="000F20A3">
        <w:rPr>
          <w:rFonts w:ascii="Verdana" w:hAnsi="Verdana"/>
          <w:sz w:val="22"/>
          <w:szCs w:val="22"/>
        </w:rPr>
        <w:t>branch‘s specific accounts</w:t>
      </w:r>
      <w:r w:rsidRPr="000F20A3">
        <w:rPr>
          <w:rFonts w:ascii="Verdana" w:hAnsi="Verdana"/>
          <w:color w:val="000000"/>
          <w:sz w:val="22"/>
          <w:szCs w:val="22"/>
          <w:lang w:val="en-US" w:eastAsia="en-GB"/>
        </w:rPr>
        <w:t>;</w:t>
      </w:r>
    </w:p>
    <w:p w14:paraId="79FC5551"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description of the level of uncertainty associated with the amount of technical provisions in respect of branch operations;</w:t>
      </w:r>
    </w:p>
    <w:p w14:paraId="6061FD95"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where the matching adjustment referred to in Article 77b of Directive 2009/138/EC is applied, a description of the matching adjustment and of the portfolio of obligations and assigned assets to which the matching adjustment is applied, as well as a quantification of the impact of a change to zero of the matching adjustment on that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2A4A3265"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 xml:space="preserve">a statement on whether the volatility adjustment referred to in Article 77d of Directive 2009/138/EC is used by the undertaking and quantification of the impact of a change to zero of the volatility adjustment on that undertaking’s financial position related to branch operations, including on the amount of technical provisions, the SCR, the Minimum Capital Requirement, the basic </w:t>
      </w:r>
      <w:r w:rsidRPr="000F20A3">
        <w:rPr>
          <w:rFonts w:ascii="Verdana" w:hAnsi="Verdana"/>
          <w:sz w:val="22"/>
          <w:szCs w:val="22"/>
        </w:rPr>
        <w:lastRenderedPageBreak/>
        <w:t>own funds and the amounts of own funds eligible to cover the Minimum Capital Requirement and the SCR;</w:t>
      </w:r>
    </w:p>
    <w:p w14:paraId="7B7C0A6E"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statement on whether the transitional risk-free interest rate-term structure referred to Article 308c of Directive 2009/138/EC is applied and a quantification of the impact of not applying the transitional measure on the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60A91193"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statement on whether the transitional deduction referred to in Article 308d of Directive 2009/138/EC is applied and a quantification of the impact of not applying the deduction measure on the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511418BB"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 xml:space="preserve">a description of the following: </w:t>
      </w:r>
    </w:p>
    <w:p w14:paraId="0B05A018" w14:textId="77777777" w:rsidR="0046238A" w:rsidRPr="00BA1C1B" w:rsidRDefault="0046238A" w:rsidP="007512B2">
      <w:pPr>
        <w:numPr>
          <w:ilvl w:val="2"/>
          <w:numId w:val="18"/>
        </w:numPr>
        <w:tabs>
          <w:tab w:val="clear" w:pos="2126"/>
        </w:tabs>
        <w:spacing w:before="120" w:after="120"/>
        <w:ind w:left="1843"/>
        <w:jc w:val="both"/>
        <w:rPr>
          <w:rFonts w:ascii="Verdana" w:hAnsi="Verdana"/>
          <w:lang w:eastAsia="de-DE"/>
        </w:rPr>
      </w:pPr>
      <w:r w:rsidRPr="00BA1C1B">
        <w:rPr>
          <w:rFonts w:ascii="Verdana" w:hAnsi="Verdana"/>
          <w:lang w:eastAsia="de-DE"/>
        </w:rPr>
        <w:t xml:space="preserve">the recoverables from reinsurance contracts and special purpose vehicles in relation to branch operations,  </w:t>
      </w:r>
    </w:p>
    <w:p w14:paraId="71DB6A3E" w14:textId="77777777" w:rsidR="0046238A" w:rsidRPr="00BA1C1B" w:rsidRDefault="0046238A" w:rsidP="007512B2">
      <w:pPr>
        <w:numPr>
          <w:ilvl w:val="2"/>
          <w:numId w:val="18"/>
        </w:numPr>
        <w:tabs>
          <w:tab w:val="clear" w:pos="2126"/>
        </w:tabs>
        <w:spacing w:before="120" w:after="120"/>
        <w:ind w:left="1843"/>
        <w:jc w:val="both"/>
        <w:rPr>
          <w:rFonts w:ascii="Verdana" w:hAnsi="Verdana"/>
          <w:lang w:eastAsia="de-DE"/>
        </w:rPr>
      </w:pPr>
      <w:r w:rsidRPr="00BA1C1B">
        <w:rPr>
          <w:rFonts w:ascii="Verdana" w:hAnsi="Verdana"/>
          <w:lang w:eastAsia="de-DE"/>
        </w:rPr>
        <w:t xml:space="preserve">any material changes in the relevant assumptions made in the calculation of technical provisions in relation to branch operations compared to the previous reporting period. </w:t>
      </w:r>
    </w:p>
    <w:p w14:paraId="0987CF34"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Valuation of the other liabilities (than technical provisions)</w:t>
      </w:r>
    </w:p>
    <w:p w14:paraId="3A24A8FA" w14:textId="77777777" w:rsidR="0046238A" w:rsidRPr="00BA1C1B" w:rsidRDefault="0046238A" w:rsidP="007512B2">
      <w:pPr>
        <w:numPr>
          <w:ilvl w:val="0"/>
          <w:numId w:val="19"/>
        </w:numPr>
        <w:spacing w:before="120" w:after="120"/>
        <w:ind w:left="709" w:hanging="709"/>
        <w:jc w:val="both"/>
        <w:rPr>
          <w:rFonts w:ascii="Verdana" w:eastAsiaTheme="minorHAnsi" w:hAnsi="Verdana"/>
        </w:rPr>
      </w:pPr>
      <w:r w:rsidRPr="00BA1C1B">
        <w:rPr>
          <w:rFonts w:ascii="Verdana" w:eastAsiaTheme="minorHAnsi" w:hAnsi="Verdana"/>
        </w:rPr>
        <w:t xml:space="preserve">The following information should be reported by </w:t>
      </w:r>
      <w:r>
        <w:rPr>
          <w:rFonts w:ascii="Verdana" w:eastAsiaTheme="minorHAnsi" w:hAnsi="Verdana"/>
        </w:rPr>
        <w:t xml:space="preserve">third-country insurance </w:t>
      </w:r>
      <w:r w:rsidRPr="00BA1C1B">
        <w:rPr>
          <w:rFonts w:ascii="Verdana" w:eastAsiaTheme="minorHAnsi" w:hAnsi="Verdana"/>
        </w:rPr>
        <w:t xml:space="preserve">undertakings regarding the valuation of other assets and other liabilities in respect of </w:t>
      </w:r>
      <w:r>
        <w:rPr>
          <w:rFonts w:ascii="Verdana" w:eastAsiaTheme="minorHAnsi" w:hAnsi="Verdana"/>
        </w:rPr>
        <w:t xml:space="preserve">the </w:t>
      </w:r>
      <w:r w:rsidRPr="00BA1C1B">
        <w:rPr>
          <w:rFonts w:ascii="Verdana" w:eastAsiaTheme="minorHAnsi" w:hAnsi="Verdana"/>
        </w:rPr>
        <w:t>branch operations for branch solvency purposes:</w:t>
      </w:r>
    </w:p>
    <w:p w14:paraId="2B73434E" w14:textId="46A91D23" w:rsidR="0046238A" w:rsidRPr="008C3A70" w:rsidRDefault="0046238A" w:rsidP="007512B2">
      <w:pPr>
        <w:pStyle w:val="BodyText2"/>
        <w:numPr>
          <w:ilvl w:val="0"/>
          <w:numId w:val="45"/>
        </w:numPr>
        <w:spacing w:line="276" w:lineRule="auto"/>
        <w:ind w:left="1134" w:hanging="425"/>
        <w:jc w:val="both"/>
        <w:rPr>
          <w:rFonts w:ascii="Verdana" w:hAnsi="Verdana"/>
          <w:sz w:val="22"/>
          <w:szCs w:val="22"/>
        </w:rPr>
      </w:pPr>
      <w:r w:rsidRPr="008C3A70">
        <w:rPr>
          <w:rFonts w:ascii="Verdana" w:hAnsi="Verdana"/>
          <w:sz w:val="22"/>
          <w:szCs w:val="22"/>
        </w:rPr>
        <w:t>separately for each material class of other liabilities the value of other liabilities as well as a description of the bases, methods and main assumptions used for their valuation for solvency purposes;</w:t>
      </w:r>
    </w:p>
    <w:p w14:paraId="7FE9E1EC" w14:textId="3929B8B1" w:rsidR="0046238A" w:rsidRPr="008C3A70" w:rsidRDefault="0046238A" w:rsidP="007512B2">
      <w:pPr>
        <w:pStyle w:val="ListParagraph"/>
        <w:numPr>
          <w:ilvl w:val="0"/>
          <w:numId w:val="45"/>
        </w:numPr>
        <w:tabs>
          <w:tab w:val="left" w:pos="1080"/>
        </w:tabs>
        <w:spacing w:before="120" w:after="120"/>
        <w:ind w:left="1134" w:hanging="425"/>
        <w:jc w:val="both"/>
        <w:rPr>
          <w:rFonts w:ascii="Verdana" w:hAnsi="Verdana"/>
          <w:lang w:eastAsia="de-DE"/>
        </w:rPr>
      </w:pPr>
      <w:r w:rsidRPr="008C3A70">
        <w:rPr>
          <w:rFonts w:ascii="Verdana" w:hAnsi="Verdana"/>
          <w:lang w:eastAsia="de-DE"/>
        </w:rPr>
        <w:t>separately for each material class of other liabilities, a quantitative and qualitative explanation of any material differences with the valuation bases, methods and main assumptions used by the undertaking in relation to the branch operations for the valuation for solvency purposes and those used for their valuation in the branch’s specific accounts.</w:t>
      </w:r>
    </w:p>
    <w:p w14:paraId="4A8D0BB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Alternative valuation methods </w:t>
      </w:r>
    </w:p>
    <w:p w14:paraId="2007B51D"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an alternative </w:t>
      </w:r>
      <w:r>
        <w:rPr>
          <w:rFonts w:ascii="Verdana" w:hAnsi="Verdana"/>
        </w:rPr>
        <w:t xml:space="preserve">valuation </w:t>
      </w:r>
      <w:r w:rsidRPr="00BA1C1B">
        <w:rPr>
          <w:rFonts w:ascii="Verdana" w:hAnsi="Verdana"/>
        </w:rPr>
        <w:t xml:space="preserve">method is used, </w:t>
      </w:r>
      <w:r>
        <w:rPr>
          <w:rFonts w:ascii="Verdana" w:hAnsi="Verdana"/>
        </w:rPr>
        <w:t xml:space="preserve">third-country insurance </w:t>
      </w:r>
      <w:r w:rsidRPr="00BA1C1B">
        <w:rPr>
          <w:rFonts w:ascii="Verdana" w:hAnsi="Verdana"/>
        </w:rPr>
        <w:t xml:space="preserve">undertakings should report information on: </w:t>
      </w:r>
    </w:p>
    <w:p w14:paraId="62BBEB81" w14:textId="3E7BD935" w:rsidR="0046238A" w:rsidRPr="00BF71F3" w:rsidRDefault="0046238A" w:rsidP="007512B2">
      <w:pPr>
        <w:pStyle w:val="BodyText2"/>
        <w:numPr>
          <w:ilvl w:val="0"/>
          <w:numId w:val="46"/>
        </w:numPr>
        <w:spacing w:line="276" w:lineRule="auto"/>
        <w:ind w:left="1134" w:hanging="425"/>
        <w:jc w:val="both"/>
        <w:rPr>
          <w:rFonts w:ascii="Verdana" w:hAnsi="Verdana"/>
          <w:sz w:val="22"/>
          <w:szCs w:val="22"/>
        </w:rPr>
      </w:pPr>
      <w:r w:rsidRPr="00BF71F3">
        <w:rPr>
          <w:rFonts w:ascii="Verdana" w:hAnsi="Verdana"/>
          <w:sz w:val="22"/>
          <w:szCs w:val="22"/>
        </w:rPr>
        <w:t xml:space="preserve">the branch assets and branch liabilities to which that valuation approach applies; </w:t>
      </w:r>
    </w:p>
    <w:p w14:paraId="5E46A920" w14:textId="18280320"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t>a justification of the use of that valuation approach for the assets and liabilities ref</w:t>
      </w:r>
      <w:r w:rsidR="00BF71F3">
        <w:rPr>
          <w:rFonts w:ascii="Verdana" w:hAnsi="Verdana"/>
          <w:lang w:eastAsia="de-DE"/>
        </w:rPr>
        <w:t xml:space="preserve">erred to in point </w:t>
      </w:r>
      <w:r w:rsidRPr="00BF71F3">
        <w:rPr>
          <w:rFonts w:ascii="Verdana" w:hAnsi="Verdana"/>
          <w:lang w:eastAsia="de-DE"/>
        </w:rPr>
        <w:t xml:space="preserve">a); </w:t>
      </w:r>
    </w:p>
    <w:p w14:paraId="57D314BA" w14:textId="476B45F5"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t>the assumptions underlying that valuation approach;</w:t>
      </w:r>
    </w:p>
    <w:p w14:paraId="57CF172F" w14:textId="4C090586"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lastRenderedPageBreak/>
        <w:t>an assessment of the valuation uncertainty of the assets and li</w:t>
      </w:r>
      <w:r w:rsidR="00BF71F3">
        <w:rPr>
          <w:rFonts w:ascii="Verdana" w:hAnsi="Verdana"/>
          <w:lang w:eastAsia="de-DE"/>
        </w:rPr>
        <w:t xml:space="preserve">abilities referred to in point </w:t>
      </w:r>
      <w:r w:rsidRPr="00BF71F3">
        <w:rPr>
          <w:rFonts w:ascii="Verdana" w:hAnsi="Verdana"/>
          <w:lang w:eastAsia="de-DE"/>
        </w:rPr>
        <w:t xml:space="preserve">a); </w:t>
      </w:r>
    </w:p>
    <w:p w14:paraId="3EB94A54" w14:textId="72D1C4B9" w:rsidR="0046238A" w:rsidRPr="00BF71F3" w:rsidRDefault="0046238A" w:rsidP="007512B2">
      <w:pPr>
        <w:pStyle w:val="ListParagraph"/>
        <w:numPr>
          <w:ilvl w:val="0"/>
          <w:numId w:val="46"/>
        </w:numPr>
        <w:tabs>
          <w:tab w:val="left" w:pos="1080"/>
          <w:tab w:val="left" w:pos="2694"/>
        </w:tabs>
        <w:spacing w:before="120" w:after="120"/>
        <w:ind w:left="1134" w:hanging="425"/>
        <w:jc w:val="both"/>
        <w:rPr>
          <w:rFonts w:ascii="Verdana" w:hAnsi="Verdana"/>
          <w:lang w:eastAsia="de-DE"/>
        </w:rPr>
      </w:pPr>
      <w:r w:rsidRPr="00BF71F3">
        <w:rPr>
          <w:rFonts w:ascii="Verdana" w:hAnsi="Verdana"/>
          <w:lang w:eastAsia="de-DE"/>
        </w:rPr>
        <w:t>a comparison of the adequacy of the valuation of the assets and liab</w:t>
      </w:r>
      <w:r w:rsidR="00BF71F3">
        <w:rPr>
          <w:rFonts w:ascii="Verdana" w:hAnsi="Verdana"/>
          <w:lang w:eastAsia="de-DE"/>
        </w:rPr>
        <w:t xml:space="preserve">ilities referred to in point </w:t>
      </w:r>
      <w:r w:rsidRPr="00BF71F3">
        <w:rPr>
          <w:rFonts w:ascii="Verdana" w:hAnsi="Verdana"/>
          <w:lang w:eastAsia="de-DE"/>
        </w:rPr>
        <w:t>a) against experience.</w:t>
      </w:r>
    </w:p>
    <w:p w14:paraId="656553B4" w14:textId="206FB0D5"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Any other information</w:t>
      </w:r>
    </w:p>
    <w:p w14:paraId="7B48FC6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w:t>
      </w:r>
      <w:r>
        <w:rPr>
          <w:rFonts w:ascii="Verdana" w:hAnsi="Verdana"/>
        </w:rPr>
        <w:t>provide</w:t>
      </w:r>
      <w:r w:rsidRPr="00BA1C1B">
        <w:rPr>
          <w:rFonts w:ascii="Verdana" w:hAnsi="Verdana"/>
        </w:rPr>
        <w:t xml:space="preserve">, in respect of </w:t>
      </w:r>
      <w:r>
        <w:rPr>
          <w:rFonts w:ascii="Verdana" w:hAnsi="Verdana"/>
        </w:rPr>
        <w:t xml:space="preserve">the </w:t>
      </w:r>
      <w:r w:rsidRPr="00BA1C1B">
        <w:rPr>
          <w:rFonts w:ascii="Verdana" w:hAnsi="Verdana"/>
        </w:rPr>
        <w:t>branch operations, a description of:</w:t>
      </w:r>
    </w:p>
    <w:p w14:paraId="3A07D75B" w14:textId="77777777" w:rsidR="0046238A" w:rsidRPr="00BA1C1B" w:rsidRDefault="0046238A" w:rsidP="007512B2">
      <w:pPr>
        <w:numPr>
          <w:ilvl w:val="1"/>
          <w:numId w:val="19"/>
        </w:numPr>
        <w:tabs>
          <w:tab w:val="num" w:pos="1560"/>
        </w:tabs>
        <w:spacing w:before="120" w:after="120"/>
        <w:ind w:left="1418" w:hanging="709"/>
        <w:jc w:val="both"/>
        <w:rPr>
          <w:rFonts w:ascii="Verdana" w:hAnsi="Verdana"/>
        </w:rPr>
      </w:pPr>
      <w:r w:rsidRPr="00BA1C1B">
        <w:rPr>
          <w:rFonts w:ascii="Verdana" w:hAnsi="Verdana"/>
        </w:rPr>
        <w:t>the relevant assumptions about future management actions;</w:t>
      </w:r>
    </w:p>
    <w:p w14:paraId="59DD931A" w14:textId="77777777" w:rsidR="0046238A" w:rsidRPr="00BA1C1B" w:rsidRDefault="0046238A" w:rsidP="007512B2">
      <w:pPr>
        <w:numPr>
          <w:ilvl w:val="1"/>
          <w:numId w:val="19"/>
        </w:numPr>
        <w:tabs>
          <w:tab w:val="num" w:pos="1560"/>
        </w:tabs>
        <w:spacing w:before="120" w:after="120"/>
        <w:ind w:left="1418" w:hanging="709"/>
        <w:jc w:val="both"/>
        <w:rPr>
          <w:rFonts w:ascii="Verdana" w:hAnsi="Verdana"/>
        </w:rPr>
      </w:pPr>
      <w:r w:rsidRPr="00BA1C1B">
        <w:rPr>
          <w:rFonts w:ascii="Verdana" w:hAnsi="Verdana"/>
        </w:rPr>
        <w:t>the relevant assumptions about policy holder behaviour.</w:t>
      </w:r>
    </w:p>
    <w:p w14:paraId="24612C8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in a separate section any other material information regarding the valuation of branch assets and branch liabilities for branch solvency purposes.</w:t>
      </w:r>
    </w:p>
    <w:p w14:paraId="5DAAD61D"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Capital management </w:t>
      </w:r>
    </w:p>
    <w:p w14:paraId="7DE503D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Own funds</w:t>
      </w:r>
    </w:p>
    <w:p w14:paraId="55D1C2E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to the supervisory authority the following information in respect of branch own funds:</w:t>
      </w:r>
    </w:p>
    <w:p w14:paraId="6B2FB3D2"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information on the objectives, policies and processes employed by the undertaking for managing branch own funds, including information on the time horizon used for business planning and on any material changes over the reporting period;</w:t>
      </w:r>
    </w:p>
    <w:p w14:paraId="20126232" w14:textId="0DBF3726"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expected developments of the branch own funds over its business planning time period given the undertaking's business strategy, and appropriately stressed capital plans</w:t>
      </w:r>
      <w:r w:rsidR="00BF71F3">
        <w:rPr>
          <w:rFonts w:ascii="Verdana" w:hAnsi="Verdana"/>
          <w:sz w:val="22"/>
          <w:szCs w:val="22"/>
        </w:rPr>
        <w:t>;</w:t>
      </w:r>
      <w:r w:rsidRPr="00BF71F3">
        <w:rPr>
          <w:rFonts w:ascii="Verdana" w:hAnsi="Verdana"/>
          <w:sz w:val="22"/>
          <w:szCs w:val="22"/>
        </w:rPr>
        <w:t xml:space="preserve"> </w:t>
      </w:r>
    </w:p>
    <w:p w14:paraId="7C4DE902"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eligible amount of own funds to cover the branch SCR;</w:t>
      </w:r>
    </w:p>
    <w:p w14:paraId="53F0F18E"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eligible amount of basic own funds to cover the branch Minimum Capital Requirement;</w:t>
      </w:r>
    </w:p>
    <w:p w14:paraId="5D6FA9C7" w14:textId="03D8EA90"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an explanation addressing the key elements of the reconcilia</w:t>
      </w:r>
      <w:r w:rsidR="00BF71F3">
        <w:rPr>
          <w:rFonts w:ascii="Verdana" w:hAnsi="Verdana"/>
          <w:sz w:val="22"/>
          <w:szCs w:val="22"/>
        </w:rPr>
        <w:t>tion reserve;</w:t>
      </w:r>
    </w:p>
    <w:p w14:paraId="1FD1254A" w14:textId="13570AA8"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for each material item of ancillary own funds, a description of the item, the amount of the ancillary own fund item, where a method by which to determine the amount of the ancillary own fund item has been approved, that method as well as the nature and the names of the counterparty or group of counterparties for the items referred to in points (b) to (c) of Article</w:t>
      </w:r>
      <w:r w:rsidR="00BF71F3">
        <w:rPr>
          <w:rFonts w:ascii="Verdana" w:hAnsi="Verdana"/>
          <w:sz w:val="22"/>
          <w:szCs w:val="22"/>
        </w:rPr>
        <w:t xml:space="preserve"> 89(1) of Directive 2009/138/EC;</w:t>
      </w:r>
    </w:p>
    <w:p w14:paraId="3590543C" w14:textId="078836C4"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 xml:space="preserve">a description of any item deducted from own funds and a brief description of any significant restriction affecting the availability and transferability of own funds within the undertaking and the </w:t>
      </w:r>
      <w:r w:rsidR="00BF71F3">
        <w:rPr>
          <w:rFonts w:ascii="Verdana" w:hAnsi="Verdana"/>
          <w:sz w:val="22"/>
          <w:szCs w:val="22"/>
        </w:rPr>
        <w:t>branch;</w:t>
      </w:r>
      <w:r w:rsidRPr="00BF71F3">
        <w:rPr>
          <w:rFonts w:ascii="Verdana" w:hAnsi="Verdana"/>
          <w:sz w:val="22"/>
          <w:szCs w:val="22"/>
        </w:rPr>
        <w:t xml:space="preserve"> </w:t>
      </w:r>
    </w:p>
    <w:p w14:paraId="7CFC5F27"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color w:val="000000"/>
          <w:sz w:val="22"/>
          <w:szCs w:val="22"/>
          <w:lang w:val="en-US" w:eastAsia="en-GB"/>
        </w:rPr>
        <w:t>the undertaking's plans on how to replace basic own-fund items that are subject to the transitional arrangements referred to in Article 308b(9) and (10) of Directive 2009/138/EC over the timeframe referred to in that Article.</w:t>
      </w:r>
    </w:p>
    <w:p w14:paraId="78DB67CE"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lastRenderedPageBreak/>
        <w:t xml:space="preserve">Third-country insurance undertakings should confirm in their regular supervisory reporting that the assets covering the branch MCR are located within the Member State where the activities are pursued and that the assets covering the branch SCR in excess of the branch MCR are located within the </w:t>
      </w:r>
      <w:r>
        <w:rPr>
          <w:rFonts w:ascii="Verdana" w:hAnsi="Verdana"/>
        </w:rPr>
        <w:t>European Union</w:t>
      </w:r>
      <w:r w:rsidRPr="00BA1C1B">
        <w:rPr>
          <w:rFonts w:ascii="Verdana" w:hAnsi="Verdana"/>
        </w:rPr>
        <w:t xml:space="preserve">. </w:t>
      </w:r>
    </w:p>
    <w:p w14:paraId="142A47CB"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provide information on the assets lodged as deposit in accordance with Article 162 (2)(e) to allow the supervisory authority to assess the appropriateness of the deposit, including;</w:t>
      </w:r>
    </w:p>
    <w:p w14:paraId="3510F743"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location of the credit institution that the deposit is lodged with;</w:t>
      </w:r>
    </w:p>
    <w:p w14:paraId="66EA87E0" w14:textId="152029A9"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Confirmation that that credit institution has, or will exercise, no right of set off of any claims it may have against the undertaking against the deposits should the undertaking fail or be su</w:t>
      </w:r>
      <w:r w:rsidR="00BF71F3">
        <w:rPr>
          <w:rFonts w:ascii="Verdana" w:hAnsi="Verdana"/>
        </w:rPr>
        <w:t>bject to winding-up proceedings;</w:t>
      </w:r>
      <w:r w:rsidRPr="00BA1C1B">
        <w:rPr>
          <w:rFonts w:ascii="Verdana" w:hAnsi="Verdana"/>
        </w:rPr>
        <w:t xml:space="preserve"> </w:t>
      </w:r>
    </w:p>
    <w:p w14:paraId="4E6B819A"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Details of the quality of the assets lodged as part of the deposit, including details of the volatility of the asset over time, in order to demonstrate that the asset is of sufficient quality and stable value to fulfil the role of the deposit.  </w:t>
      </w:r>
    </w:p>
    <w:p w14:paraId="0D57DA0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to the supervisory authority the following information regarding their solvency position calculated in accordance with </w:t>
      </w:r>
      <w:r>
        <w:rPr>
          <w:rFonts w:ascii="Verdana" w:hAnsi="Verdana"/>
        </w:rPr>
        <w:t xml:space="preserve">the </w:t>
      </w:r>
      <w:r w:rsidRPr="00BA1C1B">
        <w:rPr>
          <w:rFonts w:ascii="Verdana" w:hAnsi="Verdana"/>
        </w:rPr>
        <w:t>home jurisdiction rules on branch own funds:</w:t>
      </w:r>
    </w:p>
    <w:p w14:paraId="7E52D86F" w14:textId="77777777" w:rsidR="0046238A" w:rsidRPr="00BF71F3" w:rsidRDefault="0046238A" w:rsidP="007512B2">
      <w:pPr>
        <w:pStyle w:val="BodyText2"/>
        <w:numPr>
          <w:ilvl w:val="0"/>
          <w:numId w:val="48"/>
        </w:numPr>
        <w:spacing w:line="276" w:lineRule="auto"/>
        <w:ind w:left="1134" w:hanging="425"/>
        <w:jc w:val="both"/>
        <w:rPr>
          <w:rFonts w:ascii="Verdana" w:hAnsi="Verdana"/>
          <w:sz w:val="22"/>
          <w:szCs w:val="22"/>
        </w:rPr>
      </w:pPr>
      <w:r w:rsidRPr="00BF71F3">
        <w:rPr>
          <w:rFonts w:ascii="Verdana" w:hAnsi="Verdana"/>
          <w:sz w:val="22"/>
          <w:szCs w:val="22"/>
        </w:rPr>
        <w:t>the eligible amount of own funds to cover the branch SCR;</w:t>
      </w:r>
    </w:p>
    <w:p w14:paraId="4B46217F" w14:textId="77777777" w:rsidR="0046238A" w:rsidRPr="00BF71F3" w:rsidRDefault="0046238A" w:rsidP="007512B2">
      <w:pPr>
        <w:pStyle w:val="BodyText2"/>
        <w:numPr>
          <w:ilvl w:val="0"/>
          <w:numId w:val="48"/>
        </w:numPr>
        <w:spacing w:line="276" w:lineRule="auto"/>
        <w:ind w:left="1134" w:hanging="425"/>
        <w:jc w:val="both"/>
        <w:rPr>
          <w:rFonts w:ascii="Verdana" w:hAnsi="Verdana"/>
          <w:sz w:val="22"/>
          <w:szCs w:val="22"/>
        </w:rPr>
      </w:pPr>
      <w:r w:rsidRPr="00BF71F3">
        <w:rPr>
          <w:rFonts w:ascii="Verdana" w:hAnsi="Verdana"/>
          <w:sz w:val="22"/>
          <w:szCs w:val="22"/>
        </w:rPr>
        <w:t>the eligible amount of basic own funds to cover the branch Minimum Capital Requirement;</w:t>
      </w:r>
    </w:p>
    <w:p w14:paraId="5C7FD2B0"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SCR and Minimum Capital Requirement </w:t>
      </w:r>
    </w:p>
    <w:p w14:paraId="2EC283B4"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following information should be reported by </w:t>
      </w:r>
      <w:r>
        <w:rPr>
          <w:rFonts w:ascii="Verdana" w:hAnsi="Verdana"/>
        </w:rPr>
        <w:t xml:space="preserve">third-country insurance </w:t>
      </w:r>
      <w:r w:rsidRPr="00BA1C1B">
        <w:rPr>
          <w:rFonts w:ascii="Verdana" w:hAnsi="Verdana"/>
        </w:rPr>
        <w:t>undertakings regarding the branch SCR and the branch Minimum Capital Requirement:</w:t>
      </w:r>
    </w:p>
    <w:p w14:paraId="77435B17"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 xml:space="preserve">the amounts of the branch’s SCR and the branch Minimum Capital Requirement at the end of the reporting period, accompanied, where applicable, by an indication that the final amount of the branch SCR is still subject to supervisory assessment; </w:t>
      </w:r>
    </w:p>
    <w:p w14:paraId="6E0A853A"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quantitative information on the branch’s SCR split by risk modules where the undertaking applies the standard formula, and by risk categories where the undertaking applies an internal model;</w:t>
      </w:r>
    </w:p>
    <w:p w14:paraId="24A5F649"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the expected developments of the undertaking's anticipated branch SCR and branch Minimum Capital Requirement over its business planning time period given the undertaking's business strategy for the branch;</w:t>
      </w:r>
    </w:p>
    <w:p w14:paraId="0DE61DDF"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whether and for which risk modules and sub-modules of the standard formula the undertaking is using simplified calculations in respect of branch operations;</w:t>
      </w:r>
    </w:p>
    <w:p w14:paraId="5014B533"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whether and for which parameters of the standard formula the undertaking is using undertaking-specific parameters pursuant to Article 104(7) of Directive 2009/138/EC in respect of branch operations;</w:t>
      </w:r>
    </w:p>
    <w:p w14:paraId="4578406A"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lastRenderedPageBreak/>
        <w:t xml:space="preserve"> the impact of any undertaking-specific parameters the undertaking is required to use in accordance with Article 110 of Directive 2009/138/EC and the amount of any capital add-on applied to the branch SCR;</w:t>
      </w:r>
    </w:p>
    <w:p w14:paraId="314C0903"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the inputs used by the undertaking to calculate the branch Minimum Capital Requirement;</w:t>
      </w:r>
    </w:p>
    <w:p w14:paraId="4D027E26"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any material change to the branch SCR and to the branch Minimum Capital Requirement over the reporting period, and the reasons for any such change.</w:t>
      </w:r>
    </w:p>
    <w:p w14:paraId="73AE4B4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the amount of their solvency requirement for the whole undertaking, calculated in accordance with home jurisdiction rules, which is equivalent to the SCR and </w:t>
      </w:r>
      <w:r>
        <w:rPr>
          <w:rFonts w:ascii="Verdana" w:hAnsi="Verdana"/>
        </w:rPr>
        <w:t xml:space="preserve">the </w:t>
      </w:r>
      <w:r w:rsidRPr="00BA1C1B">
        <w:rPr>
          <w:rFonts w:ascii="Verdana" w:hAnsi="Verdana"/>
        </w:rPr>
        <w:t>Minimum Capital Requirement.</w:t>
      </w:r>
    </w:p>
    <w:p w14:paraId="008AA39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simplifications have been used for the calculation of branch SCR, </w:t>
      </w:r>
      <w:r>
        <w:rPr>
          <w:rFonts w:ascii="Verdana" w:hAnsi="Verdana"/>
        </w:rPr>
        <w:t xml:space="preserve">third-country insurance </w:t>
      </w:r>
      <w:r w:rsidRPr="00BA1C1B">
        <w:rPr>
          <w:rFonts w:ascii="Verdana" w:hAnsi="Verdana"/>
        </w:rPr>
        <w:t xml:space="preserve">undertakings should provide information on the justification that these simplifications are proportionate to the nature, scale and complexity of the risk in respect of branch operations. </w:t>
      </w:r>
    </w:p>
    <w:p w14:paraId="61B34FCB" w14:textId="6C14513B"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Within the information reported with regard to </w:t>
      </w:r>
      <w:r>
        <w:rPr>
          <w:rFonts w:ascii="Verdana" w:hAnsi="Verdana"/>
        </w:rPr>
        <w:t xml:space="preserve">the </w:t>
      </w:r>
      <w:r w:rsidRPr="00BA1C1B">
        <w:rPr>
          <w:rFonts w:ascii="Verdana" w:hAnsi="Verdana"/>
        </w:rPr>
        <w:t>branch</w:t>
      </w:r>
      <w:r>
        <w:rPr>
          <w:rFonts w:ascii="Verdana" w:hAnsi="Verdana"/>
        </w:rPr>
        <w:t>’s</w:t>
      </w:r>
      <w:r w:rsidRPr="00BA1C1B">
        <w:rPr>
          <w:rFonts w:ascii="Verdana" w:hAnsi="Verdana"/>
        </w:rPr>
        <w:t xml:space="preserve"> SCR, </w:t>
      </w:r>
      <w:r>
        <w:rPr>
          <w:rFonts w:ascii="Verdana" w:hAnsi="Verdana"/>
        </w:rPr>
        <w:t xml:space="preserve">third-country insurance </w:t>
      </w:r>
      <w:r w:rsidRPr="00BA1C1B">
        <w:rPr>
          <w:rFonts w:ascii="Verdana" w:hAnsi="Verdana"/>
        </w:rPr>
        <w:t>undertakings should include details of any allowance for reinsurance and financial mitigation techniques and future management actions in respect of branch operations used in the branch SCR calculation and how these have met the criteria for recognition.</w:t>
      </w:r>
    </w:p>
    <w:p w14:paraId="3708FA7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an internal model is used to calculate the branch SCR, the following information  should also be reported by </w:t>
      </w:r>
      <w:r>
        <w:rPr>
          <w:rFonts w:ascii="Verdana" w:hAnsi="Verdana"/>
        </w:rPr>
        <w:t xml:space="preserve">third-country insurance </w:t>
      </w:r>
      <w:r w:rsidRPr="00BA1C1B">
        <w:rPr>
          <w:rFonts w:ascii="Verdana" w:hAnsi="Verdana"/>
        </w:rPr>
        <w:t>undertakings:</w:t>
      </w:r>
    </w:p>
    <w:p w14:paraId="6E7D4C64"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 description of the various purposes for which the undertaking is using its internal model for branch operations;</w:t>
      </w:r>
    </w:p>
    <w:p w14:paraId="57E89C20"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a description of the scope of the internal model covering branch operations in terms of business units and risk categories; </w:t>
      </w:r>
    </w:p>
    <w:p w14:paraId="11BA64F3"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where a partial internal model covering branch operations is used, a description of the technique which has been used to integrate any partial internal model into the standard formula including, where relevant, a description of alternative  techniques used; </w:t>
      </w:r>
    </w:p>
    <w:p w14:paraId="36BF7247"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 description of the methods used in the internal model covering branch operations for the calculation of the probability distribution forecast and the branch SCR;</w:t>
      </w:r>
    </w:p>
    <w:p w14:paraId="698FE9E1"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the results of the review of the causes and sources of profits and losses, required by Article 123 of Directive 2009/138/EC, for each major business unit and how the categorisation of risk chosen in the internal model explains those causes and sources of profits and losses; </w:t>
      </w:r>
    </w:p>
    <w:p w14:paraId="510C3FA5"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an explanation, by risk module, of the main differences in the methodologies and underlying assumptions used in the standard formula and in the internal model covering branch operations;</w:t>
      </w:r>
    </w:p>
    <w:p w14:paraId="5DF26DCA"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information on whether, and if so to what extent, the risk profile of the branch deviates from the assumptions underlying the branch’s internal model;</w:t>
      </w:r>
    </w:p>
    <w:p w14:paraId="386AB7D9"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the risk measure and time period used in the internal model, and where they are not the same as those set out in Article 101(3) of Directive 2009/138/EC, </w:t>
      </w:r>
      <w:r w:rsidRPr="00047715">
        <w:rPr>
          <w:rFonts w:ascii="Verdana" w:hAnsi="Verdana"/>
          <w:sz w:val="22"/>
          <w:szCs w:val="22"/>
        </w:rPr>
        <w:lastRenderedPageBreak/>
        <w:t>an explanation of why the branch SCR calculated using the internal model covering branch operations provides branch policy holders and beneficiaries with a level of protection equivalent to that set out in Article 101 of Directive 2009/138/EC;</w:t>
      </w:r>
    </w:p>
    <w:p w14:paraId="711BD506" w14:textId="77777777" w:rsidR="0046238A" w:rsidRPr="00047715" w:rsidRDefault="0046238A" w:rsidP="007512B2">
      <w:pPr>
        <w:pStyle w:val="BodyText2"/>
        <w:numPr>
          <w:ilvl w:val="0"/>
          <w:numId w:val="50"/>
        </w:numPr>
        <w:spacing w:line="276" w:lineRule="auto"/>
        <w:ind w:left="1134" w:hanging="425"/>
        <w:jc w:val="both"/>
        <w:rPr>
          <w:rFonts w:ascii="Verdana" w:hAnsi="Verdana"/>
          <w:color w:val="000000"/>
          <w:sz w:val="22"/>
          <w:szCs w:val="22"/>
          <w:lang w:val="en-US" w:eastAsia="en-GB"/>
        </w:rPr>
      </w:pPr>
      <w:r w:rsidRPr="00047715">
        <w:rPr>
          <w:rFonts w:ascii="Verdana" w:hAnsi="Verdana"/>
          <w:sz w:val="22"/>
          <w:szCs w:val="22"/>
        </w:rPr>
        <w:t>information about future management actions used in the calculation of the branch SCR.</w:t>
      </w:r>
    </w:p>
    <w:p w14:paraId="53C8352C" w14:textId="77777777" w:rsidR="0046238A" w:rsidRPr="00BA1C1B" w:rsidRDefault="0046238A" w:rsidP="007512B2">
      <w:pPr>
        <w:numPr>
          <w:ilvl w:val="0"/>
          <w:numId w:val="19"/>
        </w:numPr>
        <w:spacing w:before="120" w:after="120"/>
        <w:ind w:left="709" w:hanging="709"/>
        <w:jc w:val="both"/>
        <w:rPr>
          <w:rFonts w:ascii="Verdana" w:hAnsi="Verdana"/>
          <w:lang w:val="en-US" w:eastAsia="de-DE"/>
        </w:rPr>
      </w:pPr>
      <w:r w:rsidRPr="00BA1C1B">
        <w:rPr>
          <w:rFonts w:ascii="Verdana" w:hAnsi="Verdana"/>
        </w:rPr>
        <w:t xml:space="preserve">Where undertaking-specific parameters are used to calculate the SCR, or a matching adjustment is applied to the relevant risk-free interest term structure, the regular supervisory report should include information regarding whether there have been changes to the information included in the application for approval of the undertaking-specific parameters or matching adjustment that are relevant for the supervisory assessment of the application. </w:t>
      </w:r>
    </w:p>
    <w:p w14:paraId="42ACCBB3"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 xml:space="preserve">undertakings should at least report a high level description of the operational performance of the internal model in respect of branch operations, in particular security, contingency planning and recovery plans, as well as computational capabilities and efficiency of the model. </w:t>
      </w:r>
    </w:p>
    <w:p w14:paraId="7A0F6F63"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 xml:space="preserve">undertakings should provide a description of the nature and appropriateness of the key data used in the internal model in respect of branch operations and a description of the process in pace for checking data quality </w:t>
      </w:r>
    </w:p>
    <w:p w14:paraId="3D310F3E" w14:textId="77777777" w:rsidR="0046238A" w:rsidRPr="00BA1C1B" w:rsidRDefault="0046238A" w:rsidP="007512B2">
      <w:pPr>
        <w:numPr>
          <w:ilvl w:val="0"/>
          <w:numId w:val="19"/>
        </w:numPr>
        <w:spacing w:before="120" w:after="120"/>
        <w:ind w:left="709" w:hanging="709"/>
        <w:jc w:val="both"/>
        <w:rPr>
          <w:rFonts w:ascii="Verdana" w:eastAsiaTheme="minorHAnsi" w:hAnsi="Verdana"/>
        </w:rPr>
      </w:pPr>
      <w:r>
        <w:rPr>
          <w:rFonts w:ascii="Verdana" w:hAnsi="Verdana"/>
        </w:rPr>
        <w:t xml:space="preserve">Third-country insurance </w:t>
      </w:r>
      <w:r w:rsidRPr="00BA1C1B">
        <w:rPr>
          <w:rFonts w:ascii="Verdana" w:hAnsi="Verdana"/>
        </w:rPr>
        <w:t>undertakings should provide an estimate of the branch SCR determined in accordance with the standard formula, where the undertaking is using an internal model to calculate its branch SCR and where the supervisory authority requires the undertaking to provide that estimate pursuant to Article 112(7) of Directive 2009/138/EC.</w:t>
      </w:r>
    </w:p>
    <w:p w14:paraId="1E22951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Use of the duration-based equity risk sub-module in the calculation of the SCR</w:t>
      </w:r>
    </w:p>
    <w:p w14:paraId="2FBF6057"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following information should be reported by </w:t>
      </w:r>
      <w:r>
        <w:rPr>
          <w:rFonts w:ascii="Verdana" w:hAnsi="Verdana"/>
        </w:rPr>
        <w:t xml:space="preserve">third-country insurance </w:t>
      </w:r>
      <w:r w:rsidRPr="00BA1C1B">
        <w:rPr>
          <w:rFonts w:ascii="Verdana" w:hAnsi="Verdana"/>
        </w:rPr>
        <w:t>undertakings regarding the option set out in Article 304 of Directive 2009/138/EC in respect of branch operations:</w:t>
      </w:r>
    </w:p>
    <w:p w14:paraId="5BDFA52C" w14:textId="77777777" w:rsidR="0046238A" w:rsidRPr="00047715" w:rsidRDefault="0046238A" w:rsidP="007512B2">
      <w:pPr>
        <w:pStyle w:val="BodyText2"/>
        <w:numPr>
          <w:ilvl w:val="0"/>
          <w:numId w:val="51"/>
        </w:numPr>
        <w:spacing w:line="276" w:lineRule="auto"/>
        <w:ind w:left="1134" w:hanging="425"/>
        <w:jc w:val="both"/>
        <w:rPr>
          <w:rFonts w:ascii="Verdana" w:hAnsi="Verdana"/>
          <w:sz w:val="22"/>
          <w:szCs w:val="22"/>
        </w:rPr>
      </w:pPr>
      <w:r w:rsidRPr="00047715">
        <w:rPr>
          <w:rFonts w:ascii="Verdana" w:hAnsi="Verdana"/>
          <w:sz w:val="22"/>
          <w:szCs w:val="22"/>
        </w:rPr>
        <w:t>an indication that the undertaking is using the duration-based equity risk sub-module set out in that Article for the calculation of the branch SCR, after approval from its supervisory authority;</w:t>
      </w:r>
    </w:p>
    <w:p w14:paraId="2DD07256" w14:textId="77777777" w:rsidR="0046238A" w:rsidRPr="00047715" w:rsidRDefault="0046238A" w:rsidP="007512B2">
      <w:pPr>
        <w:pStyle w:val="BodyText2"/>
        <w:numPr>
          <w:ilvl w:val="0"/>
          <w:numId w:val="51"/>
        </w:numPr>
        <w:spacing w:line="276" w:lineRule="auto"/>
        <w:ind w:left="1134" w:hanging="425"/>
        <w:jc w:val="both"/>
        <w:rPr>
          <w:rFonts w:ascii="Verdana" w:hAnsi="Verdana"/>
          <w:sz w:val="22"/>
          <w:szCs w:val="22"/>
        </w:rPr>
      </w:pPr>
      <w:r w:rsidRPr="00047715">
        <w:rPr>
          <w:rFonts w:ascii="Verdana" w:hAnsi="Verdana"/>
          <w:sz w:val="22"/>
          <w:szCs w:val="22"/>
        </w:rPr>
        <w:t>the amount of the branch capital requirement for the duration-based equity risk sub-module resulting from such use.</w:t>
      </w:r>
    </w:p>
    <w:p w14:paraId="3089C328" w14:textId="77777777" w:rsidR="00025CEF" w:rsidRDefault="00025CEF">
      <w:pPr>
        <w:rPr>
          <w:rFonts w:ascii="Verdana" w:eastAsiaTheme="minorHAnsi" w:hAnsi="Verdana"/>
          <w:b/>
        </w:rPr>
      </w:pPr>
      <w:r>
        <w:rPr>
          <w:rFonts w:ascii="Verdana" w:eastAsiaTheme="minorHAnsi" w:hAnsi="Verdana"/>
          <w:b/>
        </w:rPr>
        <w:br w:type="page"/>
      </w:r>
    </w:p>
    <w:p w14:paraId="30BF0F8E" w14:textId="3A6ADC14"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Differences between the standard formula and any internal model used</w:t>
      </w:r>
    </w:p>
    <w:p w14:paraId="2CC48AE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consider, when reporting the main differences in methodologies and underlying assumptions used in the standard formula and in the internal model in respect of branch operations, at least the following: </w:t>
      </w:r>
    </w:p>
    <w:p w14:paraId="0B11DBB3"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Structure of the model, </w:t>
      </w:r>
    </w:p>
    <w:p w14:paraId="47260757"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Risk categories concerned and not concerned by internal models, </w:t>
      </w:r>
    </w:p>
    <w:p w14:paraId="18F47FFB"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Aggregation methodologies and diversification effects, </w:t>
      </w:r>
    </w:p>
    <w:p w14:paraId="76DE7ED2"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Risk not covered in the standard formula but covered by the internal model.</w:t>
      </w:r>
    </w:p>
    <w:p w14:paraId="50B438CC" w14:textId="3B682058"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Non-compliance with the Minimum Capital Requirement and non-compliance with the SCR</w:t>
      </w:r>
    </w:p>
    <w:p w14:paraId="2CF3C35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information on any reasonably foreseeable risk of non-compliance with the branch</w:t>
      </w:r>
      <w:r>
        <w:rPr>
          <w:rFonts w:ascii="Verdana" w:hAnsi="Verdana"/>
        </w:rPr>
        <w:t>’s</w:t>
      </w:r>
      <w:r w:rsidRPr="00BA1C1B">
        <w:rPr>
          <w:rFonts w:ascii="Verdana" w:hAnsi="Verdana"/>
        </w:rPr>
        <w:t xml:space="preserve"> Minimum Capital Requirement or </w:t>
      </w:r>
      <w:r>
        <w:rPr>
          <w:rFonts w:ascii="Verdana" w:hAnsi="Verdana"/>
        </w:rPr>
        <w:t xml:space="preserve">the </w:t>
      </w:r>
      <w:r w:rsidRPr="00BA1C1B">
        <w:rPr>
          <w:rFonts w:ascii="Verdana" w:hAnsi="Verdana"/>
        </w:rPr>
        <w:t>branch</w:t>
      </w:r>
      <w:r>
        <w:rPr>
          <w:rFonts w:ascii="Verdana" w:hAnsi="Verdana"/>
        </w:rPr>
        <w:t>’s</w:t>
      </w:r>
      <w:r w:rsidRPr="00BA1C1B">
        <w:rPr>
          <w:rFonts w:ascii="Verdana" w:hAnsi="Verdana"/>
        </w:rPr>
        <w:t xml:space="preserve"> SCR, and the undertaking’s plans for ensuring that compliance with each is maintained</w:t>
      </w:r>
    </w:p>
    <w:p w14:paraId="1E9A13F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Regarding any non-compliance with the branch’s Minimum Capital Requirement </w:t>
      </w:r>
      <w:r>
        <w:rPr>
          <w:rFonts w:ascii="Verdana" w:hAnsi="Verdana"/>
        </w:rPr>
        <w:t xml:space="preserve">third-country insurance </w:t>
      </w:r>
      <w:r w:rsidRPr="00BA1C1B">
        <w:rPr>
          <w:rFonts w:ascii="Verdana" w:hAnsi="Verdana"/>
        </w:rPr>
        <w:t>undertakings should report:</w:t>
      </w:r>
    </w:p>
    <w:p w14:paraId="17FD7E8B"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the period and maximum amount of each non-compliance during the reporting period;</w:t>
      </w:r>
    </w:p>
    <w:p w14:paraId="72EC65B9"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an explanation of its origin and consequences;</w:t>
      </w:r>
    </w:p>
    <w:p w14:paraId="72075221"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any remedial measures taken and an explanation of the effects of such remedial measures;</w:t>
      </w:r>
    </w:p>
    <w:p w14:paraId="1DE6B9CC"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where non-compliance with the branch’s Minimum Capital Requirement has not been subsequently resolved: the amount of the non-compliance at the reporting date;</w:t>
      </w:r>
    </w:p>
    <w:p w14:paraId="377279B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Regarding any significant non-compliance with the branch’s SCR) </w:t>
      </w:r>
      <w:r>
        <w:rPr>
          <w:rFonts w:ascii="Verdana" w:hAnsi="Verdana"/>
        </w:rPr>
        <w:t xml:space="preserve">third-country insurance </w:t>
      </w:r>
      <w:r w:rsidRPr="00BA1C1B">
        <w:rPr>
          <w:rFonts w:ascii="Verdana" w:hAnsi="Verdana"/>
        </w:rPr>
        <w:t xml:space="preserve">undertakings should report: </w:t>
      </w:r>
    </w:p>
    <w:p w14:paraId="3DB31FB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period and maximum amount of each significant non-compliance and, in addition to the explanation of its origin and consequences as well as any remedial measures taken</w:t>
      </w:r>
      <w:r>
        <w:rPr>
          <w:rFonts w:ascii="Verdana" w:hAnsi="Verdana"/>
        </w:rPr>
        <w:t>,</w:t>
      </w:r>
      <w:r w:rsidRPr="00BA1C1B">
        <w:rPr>
          <w:rFonts w:ascii="Verdana" w:hAnsi="Verdana"/>
        </w:rPr>
        <w:t xml:space="preserve"> an explanation of the effects of such remedial measures;</w:t>
      </w:r>
    </w:p>
    <w:p w14:paraId="1BD493F6"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where a significant non-compliance with the branch’s SCR has not been subsequently resolved: the amount of the non-compliance at the reporting date.</w:t>
      </w:r>
    </w:p>
    <w:p w14:paraId="453D0E19"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44CBEE69" w14:textId="013FBC1E" w:rsidR="0046238A" w:rsidRPr="0044687A" w:rsidRDefault="0046238A" w:rsidP="007512B2">
      <w:pPr>
        <w:numPr>
          <w:ilvl w:val="0"/>
          <w:numId w:val="19"/>
        </w:numPr>
        <w:spacing w:before="120" w:after="120"/>
        <w:ind w:left="709" w:hanging="709"/>
        <w:jc w:val="both"/>
        <w:rPr>
          <w:rFonts w:ascii="Verdana" w:eastAsiaTheme="minorHAnsi" w:hAnsi="Verdana"/>
          <w:b/>
        </w:rPr>
      </w:pPr>
      <w:r w:rsidRPr="00BA1C1B">
        <w:rPr>
          <w:rFonts w:ascii="Verdana" w:hAnsi="Verdana"/>
        </w:rPr>
        <w:t>Third-country insurance undertakings should report any other material information regarding their capital management in respect of branch operations.</w:t>
      </w:r>
    </w:p>
    <w:p w14:paraId="3DF0F69D" w14:textId="607E78E0" w:rsidR="00476B79" w:rsidRDefault="00476B79">
      <w:pPr>
        <w:rPr>
          <w:rFonts w:ascii="Verdana" w:eastAsia="Times New Roman" w:hAnsi="Verdana" w:cs="Times New Roman"/>
          <w:b/>
          <w:bCs/>
          <w:sz w:val="24"/>
          <w:szCs w:val="24"/>
          <w:lang w:eastAsia="de-DE"/>
        </w:rPr>
      </w:pPr>
      <w:bookmarkStart w:id="5" w:name="_Toc404335349"/>
    </w:p>
    <w:p w14:paraId="344A48D1" w14:textId="77777777" w:rsidR="00574A76" w:rsidRDefault="00574A76" w:rsidP="00056C5C">
      <w:bookmarkStart w:id="6" w:name="_Toc336512399"/>
      <w:bookmarkStart w:id="7" w:name="_Toc336512400"/>
      <w:bookmarkStart w:id="8" w:name="_Toc336512401"/>
      <w:bookmarkEnd w:id="2"/>
      <w:bookmarkEnd w:id="3"/>
      <w:bookmarkEnd w:id="4"/>
      <w:bookmarkEnd w:id="5"/>
      <w:bookmarkEnd w:id="6"/>
      <w:bookmarkEnd w:id="7"/>
      <w:bookmarkEnd w:id="8"/>
    </w:p>
    <w:sectPr w:rsidR="00574A76" w:rsidSect="004E0BA1">
      <w:footerReference w:type="defaul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0E926" w14:textId="77777777" w:rsidR="00B45907" w:rsidRDefault="00B45907" w:rsidP="00EB67E6">
      <w:r>
        <w:separator/>
      </w:r>
    </w:p>
  </w:endnote>
  <w:endnote w:type="continuationSeparator" w:id="0">
    <w:p w14:paraId="5A5D6CFC" w14:textId="77777777" w:rsidR="00B45907" w:rsidRDefault="00B45907" w:rsidP="00EB67E6">
      <w:r>
        <w:continuationSeparator/>
      </w:r>
    </w:p>
  </w:endnote>
  <w:endnote w:type="continuationNotice" w:id="1">
    <w:p w14:paraId="00135A71" w14:textId="77777777" w:rsidR="00B45907" w:rsidRDefault="00B45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BC30D" w14:textId="77777777" w:rsidR="0084414B" w:rsidRPr="00090DDB" w:rsidRDefault="0084414B" w:rsidP="00FB1B03">
    <w:pPr>
      <w:pStyle w:val="Footer"/>
      <w:jc w:val="center"/>
      <w:rPr>
        <w:sz w:val="18"/>
        <w:szCs w:val="18"/>
      </w:rPr>
    </w:pP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PAGE </w:instrText>
    </w:r>
    <w:r w:rsidRPr="00090DDB">
      <w:rPr>
        <w:rStyle w:val="PageNumber"/>
        <w:rFonts w:ascii="Verdana" w:hAnsi="Verdana"/>
        <w:sz w:val="18"/>
        <w:szCs w:val="18"/>
      </w:rPr>
      <w:fldChar w:fldCharType="separate"/>
    </w:r>
    <w:r w:rsidR="005941F7">
      <w:rPr>
        <w:rStyle w:val="PageNumber"/>
        <w:rFonts w:ascii="Verdana" w:hAnsi="Verdana"/>
        <w:noProof/>
        <w:sz w:val="18"/>
        <w:szCs w:val="18"/>
      </w:rPr>
      <w:t>5</w:t>
    </w:r>
    <w:r w:rsidRPr="00090DDB">
      <w:rPr>
        <w:rStyle w:val="PageNumber"/>
        <w:rFonts w:ascii="Verdana" w:hAnsi="Verdana"/>
        <w:sz w:val="18"/>
        <w:szCs w:val="18"/>
      </w:rPr>
      <w:fldChar w:fldCharType="end"/>
    </w:r>
    <w:r w:rsidRPr="00090DDB">
      <w:rPr>
        <w:rStyle w:val="PageNumber"/>
        <w:rFonts w:ascii="Verdana" w:hAnsi="Verdana"/>
        <w:sz w:val="18"/>
        <w:szCs w:val="18"/>
      </w:rPr>
      <w:t>/</w:t>
    </w: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NUMPAGES </w:instrText>
    </w:r>
    <w:r w:rsidRPr="00090DDB">
      <w:rPr>
        <w:rStyle w:val="PageNumber"/>
        <w:rFonts w:ascii="Verdana" w:hAnsi="Verdana"/>
        <w:sz w:val="18"/>
        <w:szCs w:val="18"/>
      </w:rPr>
      <w:fldChar w:fldCharType="separate"/>
    </w:r>
    <w:r w:rsidR="005941F7">
      <w:rPr>
        <w:rStyle w:val="PageNumber"/>
        <w:rFonts w:ascii="Verdana" w:hAnsi="Verdana"/>
        <w:noProof/>
        <w:sz w:val="18"/>
        <w:szCs w:val="18"/>
      </w:rPr>
      <w:t>16</w:t>
    </w:r>
    <w:r w:rsidRPr="00090DDB">
      <w:rPr>
        <w:rStyle w:val="PageNumber"/>
        <w:rFonts w:ascii="Verdana" w:hAnsi="Verda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56933" w14:textId="363AC93D" w:rsidR="0084414B" w:rsidRDefault="0084414B" w:rsidP="00257B06">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DC24CD">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5CEFB" w14:textId="77777777" w:rsidR="00B45907" w:rsidRDefault="00B45907" w:rsidP="00EB67E6">
      <w:r>
        <w:separator/>
      </w:r>
    </w:p>
  </w:footnote>
  <w:footnote w:type="continuationSeparator" w:id="0">
    <w:p w14:paraId="4863620D" w14:textId="77777777" w:rsidR="00B45907" w:rsidRDefault="00B45907" w:rsidP="00EB67E6">
      <w:r>
        <w:continuationSeparator/>
      </w:r>
    </w:p>
  </w:footnote>
  <w:footnote w:type="continuationNotice" w:id="1">
    <w:p w14:paraId="76C1C1BF" w14:textId="77777777" w:rsidR="00B45907" w:rsidRDefault="00B459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E98100C"/>
    <w:lvl w:ilvl="0">
      <w:start w:val="1"/>
      <w:numFmt w:val="decimal"/>
      <w:pStyle w:val="ListNumber2"/>
      <w:lvlText w:val="%1."/>
      <w:lvlJc w:val="left"/>
      <w:pPr>
        <w:tabs>
          <w:tab w:val="num" w:pos="643"/>
        </w:tabs>
        <w:ind w:left="643" w:hanging="360"/>
      </w:pPr>
    </w:lvl>
  </w:abstractNum>
  <w:abstractNum w:abstractNumId="1" w15:restartNumberingAfterBreak="0">
    <w:nsid w:val="FFFFFF82"/>
    <w:multiLevelType w:val="singleLevel"/>
    <w:tmpl w:val="4C4C904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3E91F1B"/>
    <w:multiLevelType w:val="hybridMultilevel"/>
    <w:tmpl w:val="2EA4931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0A9520AA"/>
    <w:multiLevelType w:val="hybridMultilevel"/>
    <w:tmpl w:val="21669AEA"/>
    <w:lvl w:ilvl="0" w:tplc="FEA25292">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360"/>
        </w:tabs>
        <w:ind w:left="360" w:hanging="360"/>
      </w:pPr>
      <w:rPr>
        <w:rFonts w:ascii="Courier New" w:hAnsi="Courier New" w:hint="default"/>
      </w:rPr>
    </w:lvl>
    <w:lvl w:ilvl="2" w:tplc="0409001B">
      <w:start w:val="1"/>
      <w:numFmt w:val="bullet"/>
      <w:lvlText w:val=""/>
      <w:lvlJc w:val="left"/>
      <w:pPr>
        <w:tabs>
          <w:tab w:val="num" w:pos="731"/>
        </w:tabs>
        <w:ind w:left="731" w:hanging="360"/>
      </w:pPr>
      <w:rPr>
        <w:rFonts w:ascii="Wingdings" w:hAnsi="Wingdings" w:hint="default"/>
      </w:rPr>
    </w:lvl>
    <w:lvl w:ilvl="3" w:tplc="B93CB372">
      <w:start w:val="1"/>
      <w:numFmt w:val="bullet"/>
      <w:pStyle w:val="TemGuidanceBullets"/>
      <w:lvlText w:val=""/>
      <w:lvlJc w:val="left"/>
      <w:pPr>
        <w:tabs>
          <w:tab w:val="num" w:pos="1451"/>
        </w:tabs>
        <w:ind w:left="1451" w:hanging="360"/>
      </w:pPr>
      <w:rPr>
        <w:rFonts w:ascii="Symbol" w:hAnsi="Symbol" w:hint="default"/>
      </w:rPr>
    </w:lvl>
    <w:lvl w:ilvl="4" w:tplc="04090019">
      <w:start w:val="1"/>
      <w:numFmt w:val="bullet"/>
      <w:lvlText w:val="o"/>
      <w:lvlJc w:val="left"/>
      <w:pPr>
        <w:tabs>
          <w:tab w:val="num" w:pos="2171"/>
        </w:tabs>
        <w:ind w:left="2171" w:hanging="360"/>
      </w:pPr>
      <w:rPr>
        <w:rFonts w:ascii="Courier New" w:hAnsi="Courier New" w:hint="default"/>
      </w:rPr>
    </w:lvl>
    <w:lvl w:ilvl="5" w:tplc="0409001B" w:tentative="1">
      <w:start w:val="1"/>
      <w:numFmt w:val="bullet"/>
      <w:lvlText w:val=""/>
      <w:lvlJc w:val="left"/>
      <w:pPr>
        <w:tabs>
          <w:tab w:val="num" w:pos="2891"/>
        </w:tabs>
        <w:ind w:left="2891" w:hanging="360"/>
      </w:pPr>
      <w:rPr>
        <w:rFonts w:ascii="Wingdings" w:hAnsi="Wingdings" w:hint="default"/>
      </w:rPr>
    </w:lvl>
    <w:lvl w:ilvl="6" w:tplc="0409000F" w:tentative="1">
      <w:start w:val="1"/>
      <w:numFmt w:val="bullet"/>
      <w:lvlText w:val=""/>
      <w:lvlJc w:val="left"/>
      <w:pPr>
        <w:tabs>
          <w:tab w:val="num" w:pos="3611"/>
        </w:tabs>
        <w:ind w:left="3611" w:hanging="360"/>
      </w:pPr>
      <w:rPr>
        <w:rFonts w:ascii="Symbol" w:hAnsi="Symbol" w:hint="default"/>
      </w:rPr>
    </w:lvl>
    <w:lvl w:ilvl="7" w:tplc="04090019" w:tentative="1">
      <w:start w:val="1"/>
      <w:numFmt w:val="bullet"/>
      <w:lvlText w:val="o"/>
      <w:lvlJc w:val="left"/>
      <w:pPr>
        <w:tabs>
          <w:tab w:val="num" w:pos="4331"/>
        </w:tabs>
        <w:ind w:left="4331" w:hanging="360"/>
      </w:pPr>
      <w:rPr>
        <w:rFonts w:ascii="Courier New" w:hAnsi="Courier New" w:hint="default"/>
      </w:rPr>
    </w:lvl>
    <w:lvl w:ilvl="8" w:tplc="0409001B" w:tentative="1">
      <w:start w:val="1"/>
      <w:numFmt w:val="bullet"/>
      <w:lvlText w:val=""/>
      <w:lvlJc w:val="left"/>
      <w:pPr>
        <w:tabs>
          <w:tab w:val="num" w:pos="5051"/>
        </w:tabs>
        <w:ind w:left="5051" w:hanging="360"/>
      </w:pPr>
      <w:rPr>
        <w:rFonts w:ascii="Wingdings" w:hAnsi="Wingdings" w:hint="default"/>
      </w:rPr>
    </w:lvl>
  </w:abstractNum>
  <w:abstractNum w:abstractNumId="4" w15:restartNumberingAfterBreak="0">
    <w:nsid w:val="0E6E459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0EEA6812"/>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711CBC"/>
    <w:multiLevelType w:val="hybridMultilevel"/>
    <w:tmpl w:val="3D880146"/>
    <w:lvl w:ilvl="0" w:tplc="8A9E3D18">
      <w:start w:val="1"/>
      <w:numFmt w:val="bullet"/>
      <w:pStyle w:val="ContinuousSquareBullet"/>
      <w:lvlText w:val="•"/>
      <w:lvlJc w:val="left"/>
      <w:pPr>
        <w:tabs>
          <w:tab w:val="num" w:pos="720"/>
        </w:tabs>
        <w:ind w:left="720" w:hanging="360"/>
      </w:pPr>
      <w:rPr>
        <w:rFonts w:ascii="Times New Roman" w:hAnsi="Times New Roman" w:hint="default"/>
      </w:rPr>
    </w:lvl>
    <w:lvl w:ilvl="1" w:tplc="36920348">
      <w:start w:val="139"/>
      <w:numFmt w:val="bullet"/>
      <w:lvlText w:val=""/>
      <w:lvlJc w:val="left"/>
      <w:pPr>
        <w:tabs>
          <w:tab w:val="num" w:pos="1440"/>
        </w:tabs>
        <w:ind w:left="1440" w:hanging="360"/>
      </w:pPr>
      <w:rPr>
        <w:rFonts w:ascii="Wingdings" w:hAnsi="Wingdings" w:hint="default"/>
      </w:rPr>
    </w:lvl>
    <w:lvl w:ilvl="2" w:tplc="2D2C4ABC" w:tentative="1">
      <w:start w:val="1"/>
      <w:numFmt w:val="bullet"/>
      <w:lvlText w:val="•"/>
      <w:lvlJc w:val="left"/>
      <w:pPr>
        <w:tabs>
          <w:tab w:val="num" w:pos="2160"/>
        </w:tabs>
        <w:ind w:left="2160" w:hanging="360"/>
      </w:pPr>
      <w:rPr>
        <w:rFonts w:ascii="Times New Roman" w:hAnsi="Times New Roman" w:hint="default"/>
      </w:rPr>
    </w:lvl>
    <w:lvl w:ilvl="3" w:tplc="7F64AAE4" w:tentative="1">
      <w:start w:val="1"/>
      <w:numFmt w:val="bullet"/>
      <w:lvlText w:val="•"/>
      <w:lvlJc w:val="left"/>
      <w:pPr>
        <w:tabs>
          <w:tab w:val="num" w:pos="2880"/>
        </w:tabs>
        <w:ind w:left="2880" w:hanging="360"/>
      </w:pPr>
      <w:rPr>
        <w:rFonts w:ascii="Times New Roman" w:hAnsi="Times New Roman" w:hint="default"/>
      </w:rPr>
    </w:lvl>
    <w:lvl w:ilvl="4" w:tplc="7A2A371C" w:tentative="1">
      <w:start w:val="1"/>
      <w:numFmt w:val="bullet"/>
      <w:lvlText w:val="•"/>
      <w:lvlJc w:val="left"/>
      <w:pPr>
        <w:tabs>
          <w:tab w:val="num" w:pos="3600"/>
        </w:tabs>
        <w:ind w:left="3600" w:hanging="360"/>
      </w:pPr>
      <w:rPr>
        <w:rFonts w:ascii="Times New Roman" w:hAnsi="Times New Roman" w:hint="default"/>
      </w:rPr>
    </w:lvl>
    <w:lvl w:ilvl="5" w:tplc="B24CBCAE" w:tentative="1">
      <w:start w:val="1"/>
      <w:numFmt w:val="bullet"/>
      <w:lvlText w:val="•"/>
      <w:lvlJc w:val="left"/>
      <w:pPr>
        <w:tabs>
          <w:tab w:val="num" w:pos="4320"/>
        </w:tabs>
        <w:ind w:left="4320" w:hanging="360"/>
      </w:pPr>
      <w:rPr>
        <w:rFonts w:ascii="Times New Roman" w:hAnsi="Times New Roman" w:hint="default"/>
      </w:rPr>
    </w:lvl>
    <w:lvl w:ilvl="6" w:tplc="FAE0E776" w:tentative="1">
      <w:start w:val="1"/>
      <w:numFmt w:val="bullet"/>
      <w:lvlText w:val="•"/>
      <w:lvlJc w:val="left"/>
      <w:pPr>
        <w:tabs>
          <w:tab w:val="num" w:pos="5040"/>
        </w:tabs>
        <w:ind w:left="5040" w:hanging="360"/>
      </w:pPr>
      <w:rPr>
        <w:rFonts w:ascii="Times New Roman" w:hAnsi="Times New Roman" w:hint="default"/>
      </w:rPr>
    </w:lvl>
    <w:lvl w:ilvl="7" w:tplc="4672F7DA" w:tentative="1">
      <w:start w:val="1"/>
      <w:numFmt w:val="bullet"/>
      <w:lvlText w:val="•"/>
      <w:lvlJc w:val="left"/>
      <w:pPr>
        <w:tabs>
          <w:tab w:val="num" w:pos="5760"/>
        </w:tabs>
        <w:ind w:left="5760" w:hanging="360"/>
      </w:pPr>
      <w:rPr>
        <w:rFonts w:ascii="Times New Roman" w:hAnsi="Times New Roman" w:hint="default"/>
      </w:rPr>
    </w:lvl>
    <w:lvl w:ilvl="8" w:tplc="21ECC1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8" w15:restartNumberingAfterBreak="0">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10" w15:restartNumberingAfterBreak="0">
    <w:nsid w:val="24B330D7"/>
    <w:multiLevelType w:val="multilevel"/>
    <w:tmpl w:val="4F62F92C"/>
    <w:styleLink w:val="EIOPAheadings"/>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11"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2" w15:restartNumberingAfterBreak="0">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8D5AD3"/>
    <w:multiLevelType w:val="singleLevel"/>
    <w:tmpl w:val="C00C3E9A"/>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D322120"/>
    <w:multiLevelType w:val="hybridMultilevel"/>
    <w:tmpl w:val="1F28A0A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3464816"/>
    <w:multiLevelType w:val="multilevel"/>
    <w:tmpl w:val="B506235A"/>
    <w:lvl w:ilvl="0">
      <w:start w:val="1"/>
      <w:numFmt w:val="decimal"/>
      <w:lvlRestart w:val="0"/>
      <w:pStyle w:val="ListNumber"/>
      <w:lvlText w:val="(%1)"/>
      <w:lvlJc w:val="left"/>
      <w:pPr>
        <w:tabs>
          <w:tab w:val="num" w:pos="709"/>
        </w:tabs>
        <w:ind w:left="709" w:hanging="709"/>
      </w:pPr>
      <w:rPr>
        <w:rFonts w:cs="Times New Roman" w:hint="default"/>
      </w:rPr>
    </w:lvl>
    <w:lvl w:ilvl="1">
      <w:start w:val="1"/>
      <w:numFmt w:val="lowerLetter"/>
      <w:pStyle w:val="ListNumberLevel2"/>
      <w:lvlText w:val="(%2)"/>
      <w:lvlJc w:val="left"/>
      <w:pPr>
        <w:tabs>
          <w:tab w:val="num" w:pos="1417"/>
        </w:tabs>
        <w:ind w:left="1417" w:hanging="708"/>
      </w:pPr>
      <w:rPr>
        <w:rFonts w:cs="Times New Roman" w:hint="default"/>
      </w:rPr>
    </w:lvl>
    <w:lvl w:ilvl="2">
      <w:start w:val="1"/>
      <w:numFmt w:val="bullet"/>
      <w:pStyle w:val="ListNumberLevel3"/>
      <w:lvlText w:val="–"/>
      <w:lvlJc w:val="left"/>
      <w:pPr>
        <w:tabs>
          <w:tab w:val="num" w:pos="2126"/>
        </w:tabs>
        <w:ind w:left="2126" w:hanging="709"/>
      </w:pPr>
      <w:rPr>
        <w:rFonts w:ascii="Tunga" w:hAnsi="Tunga"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4CF265A"/>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8"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DE239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21F541A"/>
    <w:multiLevelType w:val="multilevel"/>
    <w:tmpl w:val="6582C414"/>
    <w:lvl w:ilvl="0">
      <w:start w:val="1"/>
      <w:numFmt w:val="decimal"/>
      <w:lvlText w:val="%1."/>
      <w:lvlJc w:val="left"/>
      <w:pPr>
        <w:tabs>
          <w:tab w:val="num" w:pos="1134"/>
        </w:tabs>
        <w:ind w:left="1134" w:hanging="1134"/>
      </w:pPr>
      <w:rPr>
        <w:rFonts w:cs="Times New Roman" w:hint="default"/>
        <w:color w:val="FFFFFF"/>
      </w:rPr>
    </w:lvl>
    <w:lvl w:ilvl="1">
      <w:start w:val="1"/>
      <w:numFmt w:val="decimal"/>
      <w:pStyle w:val="QISTextCharCharCharCharCharCharCharCharCharCharCharCharChar1CharChar"/>
      <w:lvlText w:val="1.%2"/>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15:restartNumberingAfterBreak="0">
    <w:nsid w:val="42754F9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5"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52195EB3"/>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4EA5F34"/>
    <w:multiLevelType w:val="hybridMultilevel"/>
    <w:tmpl w:val="33440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CE0D16"/>
    <w:multiLevelType w:val="multilevel"/>
    <w:tmpl w:val="F8C2BBF8"/>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0" w15:restartNumberingAfterBreak="0">
    <w:nsid w:val="579B1F5B"/>
    <w:multiLevelType w:val="hybridMultilevel"/>
    <w:tmpl w:val="D884D754"/>
    <w:lvl w:ilvl="0" w:tplc="36245450">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E33A99"/>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5C463F33"/>
    <w:multiLevelType w:val="hybridMultilevel"/>
    <w:tmpl w:val="518AA2F4"/>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FE663F84">
      <w:start w:val="1"/>
      <w:numFmt w:val="lowerLetter"/>
      <w:lvlText w:val="%4)"/>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15:restartNumberingAfterBreak="0">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CA330A5"/>
    <w:multiLevelType w:val="multilevel"/>
    <w:tmpl w:val="932C7E9E"/>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6" w15:restartNumberingAfterBreak="0">
    <w:nsid w:val="5F8C3B69"/>
    <w:multiLevelType w:val="multilevel"/>
    <w:tmpl w:val="9B14DAA8"/>
    <w:lvl w:ilvl="0">
      <w:start w:val="1"/>
      <w:numFmt w:val="decimal"/>
      <w:lvlRestart w:val="0"/>
      <w:pStyle w:val="NumPar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608634E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61A371DB"/>
    <w:multiLevelType w:val="multilevel"/>
    <w:tmpl w:val="B958EE0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EF47F6"/>
    <w:multiLevelType w:val="hybridMultilevel"/>
    <w:tmpl w:val="B6264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995580"/>
    <w:multiLevelType w:val="singleLevel"/>
    <w:tmpl w:val="75CC7CBA"/>
    <w:name w:val="Bullet 0"/>
    <w:lvl w:ilvl="0">
      <w:start w:val="1"/>
      <w:numFmt w:val="decimal"/>
      <w:pStyle w:val="Considrant"/>
      <w:lvlText w:val="(%1)"/>
      <w:lvlJc w:val="left"/>
      <w:pPr>
        <w:tabs>
          <w:tab w:val="num" w:pos="709"/>
        </w:tabs>
        <w:ind w:left="709" w:hanging="709"/>
      </w:pPr>
    </w:lvl>
  </w:abstractNum>
  <w:abstractNum w:abstractNumId="41"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2" w15:restartNumberingAfterBreak="0">
    <w:nsid w:val="6C7B7B51"/>
    <w:multiLevelType w:val="hybridMultilevel"/>
    <w:tmpl w:val="BE844BDC"/>
    <w:lvl w:ilvl="0" w:tplc="86FAC908">
      <w:start w:val="3"/>
      <w:numFmt w:val="bullet"/>
      <w:lvlText w:val="-"/>
      <w:lvlJc w:val="left"/>
      <w:pPr>
        <w:ind w:left="2081" w:hanging="360"/>
      </w:pPr>
      <w:rPr>
        <w:rFonts w:ascii="Times New Roman" w:eastAsia="Times New Roman" w:hAnsi="Times New Roman" w:cs="Times New Roman" w:hint="default"/>
        <w:sz w:val="22"/>
        <w:szCs w:val="22"/>
      </w:rPr>
    </w:lvl>
    <w:lvl w:ilvl="1" w:tplc="08090019">
      <w:start w:val="1"/>
      <w:numFmt w:val="lowerLetter"/>
      <w:lvlText w:val="%2."/>
      <w:lvlJc w:val="left"/>
      <w:pPr>
        <w:ind w:left="2801" w:hanging="360"/>
      </w:pPr>
    </w:lvl>
    <w:lvl w:ilvl="2" w:tplc="0809001B">
      <w:start w:val="1"/>
      <w:numFmt w:val="lowerRoman"/>
      <w:lvlText w:val="%3."/>
      <w:lvlJc w:val="right"/>
      <w:pPr>
        <w:ind w:left="3521" w:hanging="180"/>
      </w:pPr>
    </w:lvl>
    <w:lvl w:ilvl="3" w:tplc="0809000F" w:tentative="1">
      <w:start w:val="1"/>
      <w:numFmt w:val="decimal"/>
      <w:lvlText w:val="%4."/>
      <w:lvlJc w:val="left"/>
      <w:pPr>
        <w:ind w:left="4241" w:hanging="360"/>
      </w:pPr>
    </w:lvl>
    <w:lvl w:ilvl="4" w:tplc="08090019" w:tentative="1">
      <w:start w:val="1"/>
      <w:numFmt w:val="lowerLetter"/>
      <w:lvlText w:val="%5."/>
      <w:lvlJc w:val="left"/>
      <w:pPr>
        <w:ind w:left="4961" w:hanging="360"/>
      </w:pPr>
    </w:lvl>
    <w:lvl w:ilvl="5" w:tplc="0809001B" w:tentative="1">
      <w:start w:val="1"/>
      <w:numFmt w:val="lowerRoman"/>
      <w:lvlText w:val="%6."/>
      <w:lvlJc w:val="right"/>
      <w:pPr>
        <w:ind w:left="5681" w:hanging="180"/>
      </w:pPr>
    </w:lvl>
    <w:lvl w:ilvl="6" w:tplc="0809000F" w:tentative="1">
      <w:start w:val="1"/>
      <w:numFmt w:val="decimal"/>
      <w:lvlText w:val="%7."/>
      <w:lvlJc w:val="left"/>
      <w:pPr>
        <w:ind w:left="6401" w:hanging="360"/>
      </w:pPr>
    </w:lvl>
    <w:lvl w:ilvl="7" w:tplc="08090019" w:tentative="1">
      <w:start w:val="1"/>
      <w:numFmt w:val="lowerLetter"/>
      <w:lvlText w:val="%8."/>
      <w:lvlJc w:val="left"/>
      <w:pPr>
        <w:ind w:left="7121" w:hanging="360"/>
      </w:pPr>
    </w:lvl>
    <w:lvl w:ilvl="8" w:tplc="0809001B" w:tentative="1">
      <w:start w:val="1"/>
      <w:numFmt w:val="lowerRoman"/>
      <w:lvlText w:val="%9."/>
      <w:lvlJc w:val="right"/>
      <w:pPr>
        <w:ind w:left="7841" w:hanging="180"/>
      </w:pPr>
    </w:lvl>
  </w:abstractNum>
  <w:abstractNum w:abstractNumId="43" w15:restartNumberingAfterBreak="0">
    <w:nsid w:val="6F055CF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4"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5"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6" w15:restartNumberingAfterBreak="0">
    <w:nsid w:val="75AE583C"/>
    <w:multiLevelType w:val="multilevel"/>
    <w:tmpl w:val="7AE8B2CE"/>
    <w:lvl w:ilvl="0">
      <w:start w:val="1"/>
      <w:numFmt w:val="decimal"/>
      <w:lvlRestart w:val="0"/>
      <w:lvlText w:val="(%1)"/>
      <w:lvlJc w:val="left"/>
      <w:pPr>
        <w:tabs>
          <w:tab w:val="num" w:pos="709"/>
        </w:tabs>
        <w:ind w:left="709" w:hanging="709"/>
      </w:pPr>
      <w:rPr>
        <w:rFonts w:cs="Times New Roman" w:hint="default"/>
      </w:rPr>
    </w:lvl>
    <w:lvl w:ilvl="1">
      <w:start w:val="1"/>
      <w:numFmt w:val="lowerLetter"/>
      <w:lvlText w:val="(%2)"/>
      <w:lvlJc w:val="left"/>
      <w:pPr>
        <w:tabs>
          <w:tab w:val="num" w:pos="1417"/>
        </w:tabs>
        <w:ind w:left="1417" w:hanging="708"/>
      </w:pPr>
      <w:rPr>
        <w:rFonts w:cs="Times New Roman" w:hint="default"/>
      </w:rPr>
    </w:lvl>
    <w:lvl w:ilvl="2">
      <w:start w:val="1"/>
      <w:numFmt w:val="lowerRoman"/>
      <w:lvlRestart w:val="0"/>
      <w:lvlText w:val="(%3)"/>
      <w:lvlJc w:val="left"/>
      <w:pPr>
        <w:tabs>
          <w:tab w:val="num" w:pos="2126"/>
        </w:tabs>
        <w:ind w:left="2126" w:hanging="709"/>
      </w:pPr>
      <w:rPr>
        <w:rFonts w:cs="Times New Roman" w:hint="default"/>
        <w:color w:val="auto"/>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5B56828"/>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8"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7A946585"/>
    <w:multiLevelType w:val="hybridMultilevel"/>
    <w:tmpl w:val="F4F85DD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0" w15:restartNumberingAfterBreak="0">
    <w:nsid w:val="7BE95D7F"/>
    <w:multiLevelType w:val="multilevel"/>
    <w:tmpl w:val="B3EC173E"/>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567"/>
        </w:tabs>
        <w:ind w:left="567" w:hanging="567"/>
      </w:pPr>
      <w:rPr>
        <w:rFonts w:ascii="Verdana" w:hAnsi="Verdana" w:cs="Times New Roman" w:hint="default"/>
        <w:sz w:val="22"/>
        <w:szCs w:val="22"/>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5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1496914788">
    <w:abstractNumId w:val="9"/>
  </w:num>
  <w:num w:numId="2" w16cid:durableId="20475961">
    <w:abstractNumId w:val="6"/>
  </w:num>
  <w:num w:numId="3" w16cid:durableId="434904807">
    <w:abstractNumId w:val="20"/>
  </w:num>
  <w:num w:numId="4" w16cid:durableId="69889254">
    <w:abstractNumId w:val="12"/>
  </w:num>
  <w:num w:numId="5" w16cid:durableId="1983151900">
    <w:abstractNumId w:val="22"/>
  </w:num>
  <w:num w:numId="6" w16cid:durableId="1703900558">
    <w:abstractNumId w:val="50"/>
  </w:num>
  <w:num w:numId="7" w16cid:durableId="2048984762">
    <w:abstractNumId w:val="40"/>
    <w:lvlOverride w:ilvl="0">
      <w:startOverride w:val="1"/>
    </w:lvlOverride>
  </w:num>
  <w:num w:numId="8" w16cid:durableId="441657858">
    <w:abstractNumId w:val="13"/>
  </w:num>
  <w:num w:numId="9" w16cid:durableId="408619249">
    <w:abstractNumId w:val="0"/>
  </w:num>
  <w:num w:numId="10" w16cid:durableId="764690758">
    <w:abstractNumId w:val="31"/>
  </w:num>
  <w:num w:numId="11" w16cid:durableId="2079933255">
    <w:abstractNumId w:val="1"/>
  </w:num>
  <w:num w:numId="12" w16cid:durableId="1205025995">
    <w:abstractNumId w:val="10"/>
  </w:num>
  <w:num w:numId="13" w16cid:durableId="1725324393">
    <w:abstractNumId w:val="36"/>
  </w:num>
  <w:num w:numId="14" w16cid:durableId="668873726">
    <w:abstractNumId w:val="48"/>
  </w:num>
  <w:num w:numId="15" w16cid:durableId="305595833">
    <w:abstractNumId w:val="16"/>
  </w:num>
  <w:num w:numId="16" w16cid:durableId="401605761">
    <w:abstractNumId w:val="3"/>
  </w:num>
  <w:num w:numId="17" w16cid:durableId="522323441">
    <w:abstractNumId w:val="28"/>
  </w:num>
  <w:num w:numId="18" w16cid:durableId="1478112073">
    <w:abstractNumId w:val="46"/>
  </w:num>
  <w:num w:numId="19" w16cid:durableId="2122800919">
    <w:abstractNumId w:val="38"/>
  </w:num>
  <w:num w:numId="20" w16cid:durableId="547567228">
    <w:abstractNumId w:val="34"/>
  </w:num>
  <w:num w:numId="21" w16cid:durableId="2116779636">
    <w:abstractNumId w:val="35"/>
    <w:lvlOverride w:ilvl="0">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lvl w:ilvl="1">
        <w:start w:val="1"/>
        <w:numFmt w:val="decimal"/>
        <w:lvlText w:val="%1.%2"/>
        <w:lvlJc w:val="left"/>
        <w:pPr>
          <w:tabs>
            <w:tab w:val="num" w:pos="1374"/>
          </w:tabs>
          <w:ind w:left="1134" w:hanging="567"/>
        </w:pPr>
        <w:rPr>
          <w:rFonts w:cs="Times New Roman" w:hint="default"/>
          <w:strike w:val="0"/>
        </w:rPr>
      </w:lvl>
    </w:lvlOverride>
    <w:lvlOverride w:ilvl="2">
      <w:lvl w:ilvl="2">
        <w:start w:val="1"/>
        <w:numFmt w:val="lowerLetter"/>
        <w:lvlText w:val="%3)"/>
        <w:lvlJc w:val="left"/>
        <w:pPr>
          <w:tabs>
            <w:tab w:val="num" w:pos="1361"/>
          </w:tabs>
          <w:ind w:left="1361" w:hanging="340"/>
        </w:pPr>
        <w:rPr>
          <w:rFonts w:hint="default"/>
          <w:sz w:val="22"/>
          <w:szCs w:val="22"/>
        </w:rPr>
      </w:lvl>
    </w:lvlOverride>
    <w:lvlOverride w:ilvl="3">
      <w:lvl w:ilvl="3">
        <w:start w:val="1"/>
        <w:numFmt w:val="bullet"/>
        <w:lvlText w:val=""/>
        <w:lvlJc w:val="left"/>
        <w:pPr>
          <w:tabs>
            <w:tab w:val="num" w:pos="1588"/>
          </w:tabs>
          <w:ind w:left="1588" w:hanging="227"/>
        </w:pPr>
        <w:rPr>
          <w:rFonts w:ascii="Symbol" w:hAnsi="Symbol" w:hint="default"/>
          <w:color w:val="auto"/>
        </w:rPr>
      </w:lvl>
    </w:lvlOverride>
    <w:lvlOverride w:ilvl="4">
      <w:lvl w:ilvl="4">
        <w:start w:val="1"/>
        <w:numFmt w:val="none"/>
        <w:lvlText w:val=""/>
        <w:lvlJc w:val="left"/>
        <w:pPr>
          <w:ind w:left="1785" w:hanging="357"/>
        </w:pPr>
        <w:rPr>
          <w:rFonts w:cs="Times New Roman" w:hint="default"/>
        </w:rPr>
      </w:lvl>
    </w:lvlOverride>
    <w:lvlOverride w:ilvl="5">
      <w:lvl w:ilvl="5">
        <w:start w:val="1"/>
        <w:numFmt w:val="none"/>
        <w:lvlText w:val=""/>
        <w:lvlJc w:val="left"/>
        <w:pPr>
          <w:ind w:left="2142" w:hanging="357"/>
        </w:pPr>
        <w:rPr>
          <w:rFonts w:cs="Times New Roman" w:hint="default"/>
        </w:rPr>
      </w:lvl>
    </w:lvlOverride>
    <w:lvlOverride w:ilvl="6">
      <w:lvl w:ilvl="6">
        <w:start w:val="1"/>
        <w:numFmt w:val="none"/>
        <w:lvlText w:val=""/>
        <w:lvlJc w:val="left"/>
        <w:pPr>
          <w:ind w:left="2499" w:hanging="357"/>
        </w:pPr>
        <w:rPr>
          <w:rFonts w:cs="Times New Roman" w:hint="default"/>
        </w:rPr>
      </w:lvl>
    </w:lvlOverride>
    <w:lvlOverride w:ilvl="7">
      <w:lvl w:ilvl="7">
        <w:start w:val="1"/>
        <w:numFmt w:val="none"/>
        <w:lvlText w:val=""/>
        <w:lvlJc w:val="left"/>
        <w:pPr>
          <w:ind w:left="2856" w:hanging="357"/>
        </w:pPr>
        <w:rPr>
          <w:rFonts w:cs="Times New Roman" w:hint="default"/>
        </w:rPr>
      </w:lvl>
    </w:lvlOverride>
    <w:lvlOverride w:ilvl="8">
      <w:lvl w:ilvl="8">
        <w:start w:val="1"/>
        <w:numFmt w:val="none"/>
        <w:lvlText w:val=""/>
        <w:lvlJc w:val="left"/>
        <w:pPr>
          <w:ind w:left="3213" w:hanging="357"/>
        </w:pPr>
        <w:rPr>
          <w:rFonts w:cs="Times New Roman" w:hint="default"/>
        </w:rPr>
      </w:lvl>
    </w:lvlOverride>
  </w:num>
  <w:num w:numId="22" w16cid:durableId="384181452">
    <w:abstractNumId w:val="42"/>
  </w:num>
  <w:num w:numId="23" w16cid:durableId="804856584">
    <w:abstractNumId w:val="35"/>
    <w:lvlOverride w:ilvl="0">
      <w:startOverride w:val="1"/>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startOverride w:val="1"/>
      <w:lvl w:ilvl="1">
        <w:start w:val="1"/>
        <w:numFmt w:val="decimal"/>
        <w:lvlText w:val="%1.%2"/>
        <w:lvlJc w:val="left"/>
        <w:pPr>
          <w:tabs>
            <w:tab w:val="num" w:pos="1021"/>
          </w:tabs>
          <w:ind w:left="1021" w:hanging="664"/>
        </w:pPr>
        <w:rPr>
          <w:rFonts w:cs="Times New Roman" w:hint="default"/>
        </w:rPr>
      </w:lvl>
    </w:lvlOverride>
    <w:lvlOverride w:ilvl="2">
      <w:startOverride w:val="1"/>
      <w:lvl w:ilvl="2">
        <w:start w:val="1"/>
        <w:numFmt w:val="lowerLetter"/>
        <w:lvlText w:val="%3)"/>
        <w:lvlJc w:val="left"/>
        <w:pPr>
          <w:tabs>
            <w:tab w:val="num" w:pos="1361"/>
          </w:tabs>
          <w:ind w:left="1361" w:hanging="340"/>
        </w:pPr>
        <w:rPr>
          <w:rFonts w:hint="default"/>
        </w:rPr>
      </w:lvl>
    </w:lvlOverride>
    <w:lvlOverride w:ilvl="3">
      <w:startOverride w:val="1"/>
      <w:lvl w:ilvl="3">
        <w:start w:val="1"/>
        <w:numFmt w:val="bullet"/>
        <w:lvlText w:val=""/>
        <w:lvlJc w:val="left"/>
        <w:pPr>
          <w:tabs>
            <w:tab w:val="num" w:pos="1588"/>
          </w:tabs>
          <w:ind w:left="1588" w:hanging="227"/>
        </w:pPr>
        <w:rPr>
          <w:rFonts w:ascii="Symbol" w:hAnsi="Symbol" w:hint="default"/>
          <w:color w:val="auto"/>
        </w:rPr>
      </w:lvl>
    </w:lvlOverride>
    <w:lvlOverride w:ilvl="4">
      <w:startOverride w:val="1"/>
      <w:lvl w:ilvl="4">
        <w:start w:val="1"/>
        <w:numFmt w:val="none"/>
        <w:lvlText w:val=""/>
        <w:lvlJc w:val="left"/>
        <w:pPr>
          <w:ind w:left="1785" w:hanging="357"/>
        </w:pPr>
        <w:rPr>
          <w:rFonts w:cs="Times New Roman" w:hint="default"/>
        </w:rPr>
      </w:lvl>
    </w:lvlOverride>
    <w:lvlOverride w:ilvl="5">
      <w:startOverride w:val="1"/>
      <w:lvl w:ilvl="5">
        <w:start w:val="1"/>
        <w:numFmt w:val="none"/>
        <w:lvlText w:val=""/>
        <w:lvlJc w:val="left"/>
        <w:pPr>
          <w:ind w:left="2142" w:hanging="357"/>
        </w:pPr>
        <w:rPr>
          <w:rFonts w:cs="Times New Roman" w:hint="default"/>
        </w:rPr>
      </w:lvl>
    </w:lvlOverride>
    <w:lvlOverride w:ilvl="6">
      <w:startOverride w:val="1"/>
      <w:lvl w:ilvl="6">
        <w:start w:val="1"/>
        <w:numFmt w:val="none"/>
        <w:lvlText w:val=""/>
        <w:lvlJc w:val="left"/>
        <w:pPr>
          <w:ind w:left="2499" w:hanging="357"/>
        </w:pPr>
        <w:rPr>
          <w:rFonts w:cs="Times New Roman" w:hint="default"/>
        </w:rPr>
      </w:lvl>
    </w:lvlOverride>
    <w:lvlOverride w:ilvl="7">
      <w:startOverride w:val="1"/>
      <w:lvl w:ilvl="7">
        <w:start w:val="1"/>
        <w:numFmt w:val="none"/>
        <w:lvlText w:val=""/>
        <w:lvlJc w:val="left"/>
        <w:pPr>
          <w:ind w:left="2856" w:hanging="357"/>
        </w:pPr>
        <w:rPr>
          <w:rFonts w:cs="Times New Roman" w:hint="default"/>
        </w:rPr>
      </w:lvl>
    </w:lvlOverride>
    <w:lvlOverride w:ilvl="8">
      <w:startOverride w:val="1"/>
      <w:lvl w:ilvl="8">
        <w:start w:val="1"/>
        <w:numFmt w:val="none"/>
        <w:lvlText w:val=""/>
        <w:lvlJc w:val="left"/>
        <w:pPr>
          <w:ind w:left="3213" w:hanging="357"/>
        </w:pPr>
        <w:rPr>
          <w:rFonts w:cs="Times New Roman" w:hint="default"/>
        </w:rPr>
      </w:lvl>
    </w:lvlOverride>
  </w:num>
  <w:num w:numId="24" w16cid:durableId="1369641108">
    <w:abstractNumId w:val="39"/>
  </w:num>
  <w:num w:numId="25" w16cid:durableId="1188449178">
    <w:abstractNumId w:val="33"/>
  </w:num>
  <w:num w:numId="26" w16cid:durableId="44108232">
    <w:abstractNumId w:val="5"/>
  </w:num>
  <w:num w:numId="27" w16cid:durableId="2002657348">
    <w:abstractNumId w:val="30"/>
  </w:num>
  <w:num w:numId="28" w16cid:durableId="598295457">
    <w:abstractNumId w:val="8"/>
  </w:num>
  <w:num w:numId="29" w16cid:durableId="354380840">
    <w:abstractNumId w:val="29"/>
  </w:num>
  <w:num w:numId="30" w16cid:durableId="572392542">
    <w:abstractNumId w:val="2"/>
  </w:num>
  <w:num w:numId="31" w16cid:durableId="1522161537">
    <w:abstractNumId w:val="49"/>
  </w:num>
  <w:num w:numId="32" w16cid:durableId="154803473">
    <w:abstractNumId w:val="14"/>
  </w:num>
  <w:num w:numId="33" w16cid:durableId="1494418214">
    <w:abstractNumId w:val="21"/>
  </w:num>
  <w:num w:numId="34" w16cid:durableId="407963862">
    <w:abstractNumId w:val="25"/>
  </w:num>
  <w:num w:numId="35" w16cid:durableId="289944562">
    <w:abstractNumId w:val="41"/>
  </w:num>
  <w:num w:numId="36" w16cid:durableId="1132676522">
    <w:abstractNumId w:val="27"/>
  </w:num>
  <w:num w:numId="37" w16cid:durableId="9184137">
    <w:abstractNumId w:val="51"/>
  </w:num>
  <w:num w:numId="38" w16cid:durableId="955940035">
    <w:abstractNumId w:val="44"/>
  </w:num>
  <w:num w:numId="39" w16cid:durableId="1823813070">
    <w:abstractNumId w:val="26"/>
  </w:num>
  <w:num w:numId="40" w16cid:durableId="185682699">
    <w:abstractNumId w:val="32"/>
  </w:num>
  <w:num w:numId="41" w16cid:durableId="200632846">
    <w:abstractNumId w:val="4"/>
  </w:num>
  <w:num w:numId="42" w16cid:durableId="1900749248">
    <w:abstractNumId w:val="37"/>
  </w:num>
  <w:num w:numId="43" w16cid:durableId="1656713968">
    <w:abstractNumId w:val="43"/>
  </w:num>
  <w:num w:numId="44" w16cid:durableId="1562983044">
    <w:abstractNumId w:val="17"/>
  </w:num>
  <w:num w:numId="45" w16cid:durableId="931594296">
    <w:abstractNumId w:val="11"/>
  </w:num>
  <w:num w:numId="46" w16cid:durableId="93281879">
    <w:abstractNumId w:val="24"/>
  </w:num>
  <w:num w:numId="47" w16cid:durableId="502206515">
    <w:abstractNumId w:val="45"/>
  </w:num>
  <w:num w:numId="48" w16cid:durableId="589045712">
    <w:abstractNumId w:val="47"/>
  </w:num>
  <w:num w:numId="49" w16cid:durableId="1584293033">
    <w:abstractNumId w:val="18"/>
  </w:num>
  <w:num w:numId="50" w16cid:durableId="426077421">
    <w:abstractNumId w:val="23"/>
  </w:num>
  <w:num w:numId="51" w16cid:durableId="1816532979">
    <w:abstractNumId w:val="7"/>
  </w:num>
  <w:num w:numId="52" w16cid:durableId="1390029594">
    <w:abstractNumId w:val="19"/>
  </w:num>
  <w:num w:numId="53" w16cid:durableId="181088701">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F5B03"/>
    <w:rsid w:val="00001C03"/>
    <w:rsid w:val="000025C4"/>
    <w:rsid w:val="00003746"/>
    <w:rsid w:val="000047CB"/>
    <w:rsid w:val="00005671"/>
    <w:rsid w:val="00006424"/>
    <w:rsid w:val="00011684"/>
    <w:rsid w:val="00014BC6"/>
    <w:rsid w:val="00015A30"/>
    <w:rsid w:val="0002016A"/>
    <w:rsid w:val="000238E2"/>
    <w:rsid w:val="0002487D"/>
    <w:rsid w:val="00024984"/>
    <w:rsid w:val="00025193"/>
    <w:rsid w:val="0002524C"/>
    <w:rsid w:val="000256E0"/>
    <w:rsid w:val="00025CEF"/>
    <w:rsid w:val="00032052"/>
    <w:rsid w:val="000335C0"/>
    <w:rsid w:val="000339EE"/>
    <w:rsid w:val="00034101"/>
    <w:rsid w:val="000347E1"/>
    <w:rsid w:val="0003489D"/>
    <w:rsid w:val="000353A9"/>
    <w:rsid w:val="00035DA4"/>
    <w:rsid w:val="00037560"/>
    <w:rsid w:val="00042913"/>
    <w:rsid w:val="000451F5"/>
    <w:rsid w:val="00047715"/>
    <w:rsid w:val="000479EC"/>
    <w:rsid w:val="00047F6E"/>
    <w:rsid w:val="000515EA"/>
    <w:rsid w:val="000529C0"/>
    <w:rsid w:val="0005328F"/>
    <w:rsid w:val="000553EC"/>
    <w:rsid w:val="00055EE3"/>
    <w:rsid w:val="00056C5C"/>
    <w:rsid w:val="0006027E"/>
    <w:rsid w:val="00061563"/>
    <w:rsid w:val="00065CCC"/>
    <w:rsid w:val="00065D21"/>
    <w:rsid w:val="00066A0A"/>
    <w:rsid w:val="00066C34"/>
    <w:rsid w:val="00066F54"/>
    <w:rsid w:val="000678A7"/>
    <w:rsid w:val="00067E31"/>
    <w:rsid w:val="00070D09"/>
    <w:rsid w:val="000718BD"/>
    <w:rsid w:val="00071F1D"/>
    <w:rsid w:val="00076FA4"/>
    <w:rsid w:val="000823FF"/>
    <w:rsid w:val="00085470"/>
    <w:rsid w:val="0008794C"/>
    <w:rsid w:val="00087AF9"/>
    <w:rsid w:val="00087F5A"/>
    <w:rsid w:val="00090156"/>
    <w:rsid w:val="00090DDB"/>
    <w:rsid w:val="000920B1"/>
    <w:rsid w:val="00092463"/>
    <w:rsid w:val="00092788"/>
    <w:rsid w:val="00093D55"/>
    <w:rsid w:val="000A327F"/>
    <w:rsid w:val="000A5B07"/>
    <w:rsid w:val="000A5BB3"/>
    <w:rsid w:val="000A6F75"/>
    <w:rsid w:val="000B285D"/>
    <w:rsid w:val="000B2F3B"/>
    <w:rsid w:val="000B5FBD"/>
    <w:rsid w:val="000C06FC"/>
    <w:rsid w:val="000C0845"/>
    <w:rsid w:val="000C0C80"/>
    <w:rsid w:val="000C1769"/>
    <w:rsid w:val="000C310B"/>
    <w:rsid w:val="000C387D"/>
    <w:rsid w:val="000C512D"/>
    <w:rsid w:val="000C5CF5"/>
    <w:rsid w:val="000C6F32"/>
    <w:rsid w:val="000C7106"/>
    <w:rsid w:val="000D1596"/>
    <w:rsid w:val="000D1E6F"/>
    <w:rsid w:val="000D35E9"/>
    <w:rsid w:val="000D6966"/>
    <w:rsid w:val="000E0ACA"/>
    <w:rsid w:val="000E24CE"/>
    <w:rsid w:val="000E25DE"/>
    <w:rsid w:val="000E6396"/>
    <w:rsid w:val="000E6719"/>
    <w:rsid w:val="000E71FE"/>
    <w:rsid w:val="000F0074"/>
    <w:rsid w:val="000F161B"/>
    <w:rsid w:val="000F20A3"/>
    <w:rsid w:val="000F23B1"/>
    <w:rsid w:val="000F702B"/>
    <w:rsid w:val="000F7D83"/>
    <w:rsid w:val="00100603"/>
    <w:rsid w:val="00100806"/>
    <w:rsid w:val="00100DF4"/>
    <w:rsid w:val="00101A81"/>
    <w:rsid w:val="00103C77"/>
    <w:rsid w:val="0010473E"/>
    <w:rsid w:val="001065C1"/>
    <w:rsid w:val="00106685"/>
    <w:rsid w:val="00106E63"/>
    <w:rsid w:val="00110082"/>
    <w:rsid w:val="00110D78"/>
    <w:rsid w:val="00111717"/>
    <w:rsid w:val="00112AA2"/>
    <w:rsid w:val="001134AB"/>
    <w:rsid w:val="00113A36"/>
    <w:rsid w:val="00114D50"/>
    <w:rsid w:val="00114FCF"/>
    <w:rsid w:val="00120D2E"/>
    <w:rsid w:val="00121CB9"/>
    <w:rsid w:val="0012236F"/>
    <w:rsid w:val="001230F2"/>
    <w:rsid w:val="001257FC"/>
    <w:rsid w:val="0012738B"/>
    <w:rsid w:val="0013077D"/>
    <w:rsid w:val="001329F4"/>
    <w:rsid w:val="00132F3C"/>
    <w:rsid w:val="00133B4B"/>
    <w:rsid w:val="0013425A"/>
    <w:rsid w:val="001400CE"/>
    <w:rsid w:val="00141018"/>
    <w:rsid w:val="00142A70"/>
    <w:rsid w:val="00143A05"/>
    <w:rsid w:val="00145F3D"/>
    <w:rsid w:val="0014658B"/>
    <w:rsid w:val="00150EA4"/>
    <w:rsid w:val="0015253A"/>
    <w:rsid w:val="00153BC6"/>
    <w:rsid w:val="00156352"/>
    <w:rsid w:val="00157D2F"/>
    <w:rsid w:val="0016241F"/>
    <w:rsid w:val="00162E3A"/>
    <w:rsid w:val="00164CCB"/>
    <w:rsid w:val="00166561"/>
    <w:rsid w:val="001677A5"/>
    <w:rsid w:val="00170C7E"/>
    <w:rsid w:val="0017452E"/>
    <w:rsid w:val="00174B04"/>
    <w:rsid w:val="00175938"/>
    <w:rsid w:val="00180DEB"/>
    <w:rsid w:val="00180F68"/>
    <w:rsid w:val="00181568"/>
    <w:rsid w:val="0018222E"/>
    <w:rsid w:val="00182441"/>
    <w:rsid w:val="001827B5"/>
    <w:rsid w:val="00183C9F"/>
    <w:rsid w:val="00184CA6"/>
    <w:rsid w:val="00185A66"/>
    <w:rsid w:val="00187538"/>
    <w:rsid w:val="00187F91"/>
    <w:rsid w:val="001912C5"/>
    <w:rsid w:val="001912E4"/>
    <w:rsid w:val="00192FC5"/>
    <w:rsid w:val="001931A4"/>
    <w:rsid w:val="00193476"/>
    <w:rsid w:val="00193DEB"/>
    <w:rsid w:val="001941B2"/>
    <w:rsid w:val="00195B43"/>
    <w:rsid w:val="001966AC"/>
    <w:rsid w:val="001972F6"/>
    <w:rsid w:val="00197CAF"/>
    <w:rsid w:val="001A12C0"/>
    <w:rsid w:val="001A1EFB"/>
    <w:rsid w:val="001A582F"/>
    <w:rsid w:val="001A7E65"/>
    <w:rsid w:val="001B0D28"/>
    <w:rsid w:val="001B19B0"/>
    <w:rsid w:val="001B1EE4"/>
    <w:rsid w:val="001B2528"/>
    <w:rsid w:val="001B25EE"/>
    <w:rsid w:val="001B37B8"/>
    <w:rsid w:val="001B37FE"/>
    <w:rsid w:val="001B38BE"/>
    <w:rsid w:val="001B3D35"/>
    <w:rsid w:val="001B444E"/>
    <w:rsid w:val="001B45D1"/>
    <w:rsid w:val="001B48D4"/>
    <w:rsid w:val="001B4DF8"/>
    <w:rsid w:val="001B65A6"/>
    <w:rsid w:val="001C0300"/>
    <w:rsid w:val="001C0F32"/>
    <w:rsid w:val="001C1179"/>
    <w:rsid w:val="001C39D8"/>
    <w:rsid w:val="001C54A8"/>
    <w:rsid w:val="001C55B6"/>
    <w:rsid w:val="001C574A"/>
    <w:rsid w:val="001C6686"/>
    <w:rsid w:val="001C6840"/>
    <w:rsid w:val="001C74B9"/>
    <w:rsid w:val="001C7A1A"/>
    <w:rsid w:val="001C7C86"/>
    <w:rsid w:val="001D11B3"/>
    <w:rsid w:val="001D155B"/>
    <w:rsid w:val="001D1560"/>
    <w:rsid w:val="001D179D"/>
    <w:rsid w:val="001D205D"/>
    <w:rsid w:val="001D27EB"/>
    <w:rsid w:val="001D3BEC"/>
    <w:rsid w:val="001D53D2"/>
    <w:rsid w:val="001D6605"/>
    <w:rsid w:val="001D6AF5"/>
    <w:rsid w:val="001E0896"/>
    <w:rsid w:val="001E1809"/>
    <w:rsid w:val="001E2B13"/>
    <w:rsid w:val="001E2BBD"/>
    <w:rsid w:val="001E2C76"/>
    <w:rsid w:val="001E4E66"/>
    <w:rsid w:val="001E6983"/>
    <w:rsid w:val="001E71B2"/>
    <w:rsid w:val="001F0350"/>
    <w:rsid w:val="001F4BBE"/>
    <w:rsid w:val="001F4C6F"/>
    <w:rsid w:val="001F612B"/>
    <w:rsid w:val="001F6AC7"/>
    <w:rsid w:val="001F7595"/>
    <w:rsid w:val="00201A7C"/>
    <w:rsid w:val="00201A7F"/>
    <w:rsid w:val="002021B6"/>
    <w:rsid w:val="0020254E"/>
    <w:rsid w:val="00202FA5"/>
    <w:rsid w:val="00205DBB"/>
    <w:rsid w:val="00207151"/>
    <w:rsid w:val="0021008C"/>
    <w:rsid w:val="00210D3C"/>
    <w:rsid w:val="00210FBB"/>
    <w:rsid w:val="002124EF"/>
    <w:rsid w:val="00212D28"/>
    <w:rsid w:val="002142A7"/>
    <w:rsid w:val="002143D6"/>
    <w:rsid w:val="002205B3"/>
    <w:rsid w:val="00223037"/>
    <w:rsid w:val="00224424"/>
    <w:rsid w:val="00225574"/>
    <w:rsid w:val="00231965"/>
    <w:rsid w:val="00233F87"/>
    <w:rsid w:val="0023613C"/>
    <w:rsid w:val="00236920"/>
    <w:rsid w:val="00236B45"/>
    <w:rsid w:val="00241D82"/>
    <w:rsid w:val="00252F03"/>
    <w:rsid w:val="002530C8"/>
    <w:rsid w:val="00253117"/>
    <w:rsid w:val="00256C18"/>
    <w:rsid w:val="00257893"/>
    <w:rsid w:val="0025790B"/>
    <w:rsid w:val="00257B06"/>
    <w:rsid w:val="00257B75"/>
    <w:rsid w:val="00257E94"/>
    <w:rsid w:val="002623ED"/>
    <w:rsid w:val="00265E57"/>
    <w:rsid w:val="0026720F"/>
    <w:rsid w:val="0026751A"/>
    <w:rsid w:val="00270184"/>
    <w:rsid w:val="00271C9B"/>
    <w:rsid w:val="0027354D"/>
    <w:rsid w:val="002737BE"/>
    <w:rsid w:val="00274FE5"/>
    <w:rsid w:val="00275CF4"/>
    <w:rsid w:val="00276D02"/>
    <w:rsid w:val="002812C4"/>
    <w:rsid w:val="00281317"/>
    <w:rsid w:val="00281543"/>
    <w:rsid w:val="00283EDE"/>
    <w:rsid w:val="002868E6"/>
    <w:rsid w:val="00292250"/>
    <w:rsid w:val="00295490"/>
    <w:rsid w:val="00295B3B"/>
    <w:rsid w:val="002A1EB8"/>
    <w:rsid w:val="002A25EA"/>
    <w:rsid w:val="002A306C"/>
    <w:rsid w:val="002A3EA1"/>
    <w:rsid w:val="002A44B2"/>
    <w:rsid w:val="002A6BEC"/>
    <w:rsid w:val="002A6E61"/>
    <w:rsid w:val="002B24D4"/>
    <w:rsid w:val="002B6284"/>
    <w:rsid w:val="002B64AB"/>
    <w:rsid w:val="002B6D5D"/>
    <w:rsid w:val="002C2D0F"/>
    <w:rsid w:val="002C2F9B"/>
    <w:rsid w:val="002C320F"/>
    <w:rsid w:val="002C7A5F"/>
    <w:rsid w:val="002D08A5"/>
    <w:rsid w:val="002D17DE"/>
    <w:rsid w:val="002D2386"/>
    <w:rsid w:val="002D2761"/>
    <w:rsid w:val="002D29B6"/>
    <w:rsid w:val="002D2E14"/>
    <w:rsid w:val="002D3EEF"/>
    <w:rsid w:val="002D3FC4"/>
    <w:rsid w:val="002D4B86"/>
    <w:rsid w:val="002D584D"/>
    <w:rsid w:val="002D69C9"/>
    <w:rsid w:val="002D7659"/>
    <w:rsid w:val="002E1127"/>
    <w:rsid w:val="002E238E"/>
    <w:rsid w:val="002E2C2F"/>
    <w:rsid w:val="002E499A"/>
    <w:rsid w:val="002E4B50"/>
    <w:rsid w:val="002E4FCA"/>
    <w:rsid w:val="002E52C5"/>
    <w:rsid w:val="002F1739"/>
    <w:rsid w:val="002F1943"/>
    <w:rsid w:val="002F27B5"/>
    <w:rsid w:val="002F4640"/>
    <w:rsid w:val="002F47EF"/>
    <w:rsid w:val="002F4A67"/>
    <w:rsid w:val="002F5B7D"/>
    <w:rsid w:val="002F5BBF"/>
    <w:rsid w:val="00300098"/>
    <w:rsid w:val="00300770"/>
    <w:rsid w:val="0030419E"/>
    <w:rsid w:val="00311D0F"/>
    <w:rsid w:val="00311ED1"/>
    <w:rsid w:val="003130A8"/>
    <w:rsid w:val="0031442F"/>
    <w:rsid w:val="00315602"/>
    <w:rsid w:val="00315E03"/>
    <w:rsid w:val="00316073"/>
    <w:rsid w:val="003172D5"/>
    <w:rsid w:val="003228EF"/>
    <w:rsid w:val="00324513"/>
    <w:rsid w:val="00325E1B"/>
    <w:rsid w:val="00326D33"/>
    <w:rsid w:val="00332EB9"/>
    <w:rsid w:val="00333575"/>
    <w:rsid w:val="00334F44"/>
    <w:rsid w:val="00335477"/>
    <w:rsid w:val="00335692"/>
    <w:rsid w:val="00335FC3"/>
    <w:rsid w:val="003364FC"/>
    <w:rsid w:val="00336F77"/>
    <w:rsid w:val="003370A3"/>
    <w:rsid w:val="0034194D"/>
    <w:rsid w:val="00343A6D"/>
    <w:rsid w:val="00345FCC"/>
    <w:rsid w:val="00346328"/>
    <w:rsid w:val="0035137D"/>
    <w:rsid w:val="0035231E"/>
    <w:rsid w:val="0035288B"/>
    <w:rsid w:val="00353884"/>
    <w:rsid w:val="0035587A"/>
    <w:rsid w:val="003576A7"/>
    <w:rsid w:val="00360632"/>
    <w:rsid w:val="00363423"/>
    <w:rsid w:val="00365173"/>
    <w:rsid w:val="00365556"/>
    <w:rsid w:val="003659CB"/>
    <w:rsid w:val="00365C91"/>
    <w:rsid w:val="00365E78"/>
    <w:rsid w:val="00367EBA"/>
    <w:rsid w:val="00370DF0"/>
    <w:rsid w:val="00371EFC"/>
    <w:rsid w:val="00372205"/>
    <w:rsid w:val="003725BF"/>
    <w:rsid w:val="00373758"/>
    <w:rsid w:val="003756E2"/>
    <w:rsid w:val="00376820"/>
    <w:rsid w:val="003770D1"/>
    <w:rsid w:val="00377312"/>
    <w:rsid w:val="003776B4"/>
    <w:rsid w:val="00380D1D"/>
    <w:rsid w:val="0038268C"/>
    <w:rsid w:val="003834B7"/>
    <w:rsid w:val="00383C92"/>
    <w:rsid w:val="00384B1F"/>
    <w:rsid w:val="00385CE9"/>
    <w:rsid w:val="00387434"/>
    <w:rsid w:val="00387DCC"/>
    <w:rsid w:val="00387F04"/>
    <w:rsid w:val="00387FDD"/>
    <w:rsid w:val="00394BD5"/>
    <w:rsid w:val="00396402"/>
    <w:rsid w:val="0039684A"/>
    <w:rsid w:val="00396A2E"/>
    <w:rsid w:val="00396DDC"/>
    <w:rsid w:val="00397E82"/>
    <w:rsid w:val="003A1889"/>
    <w:rsid w:val="003A30CE"/>
    <w:rsid w:val="003A3E28"/>
    <w:rsid w:val="003A3F6E"/>
    <w:rsid w:val="003A4C4C"/>
    <w:rsid w:val="003A5068"/>
    <w:rsid w:val="003A54A4"/>
    <w:rsid w:val="003A5DF6"/>
    <w:rsid w:val="003B1080"/>
    <w:rsid w:val="003B1F19"/>
    <w:rsid w:val="003B4F71"/>
    <w:rsid w:val="003B6848"/>
    <w:rsid w:val="003B6E51"/>
    <w:rsid w:val="003B70E8"/>
    <w:rsid w:val="003B79CA"/>
    <w:rsid w:val="003C22A2"/>
    <w:rsid w:val="003C35F9"/>
    <w:rsid w:val="003C427C"/>
    <w:rsid w:val="003C5875"/>
    <w:rsid w:val="003C75AB"/>
    <w:rsid w:val="003D0229"/>
    <w:rsid w:val="003D100E"/>
    <w:rsid w:val="003D26C5"/>
    <w:rsid w:val="003D4051"/>
    <w:rsid w:val="003D4069"/>
    <w:rsid w:val="003D5280"/>
    <w:rsid w:val="003D79A3"/>
    <w:rsid w:val="003E23F7"/>
    <w:rsid w:val="003E36A2"/>
    <w:rsid w:val="003E72CB"/>
    <w:rsid w:val="003E74CD"/>
    <w:rsid w:val="003E7B7F"/>
    <w:rsid w:val="003F027C"/>
    <w:rsid w:val="003F4BFB"/>
    <w:rsid w:val="003F5B6D"/>
    <w:rsid w:val="003F6764"/>
    <w:rsid w:val="00400420"/>
    <w:rsid w:val="00400DBC"/>
    <w:rsid w:val="00401739"/>
    <w:rsid w:val="004038DE"/>
    <w:rsid w:val="00403907"/>
    <w:rsid w:val="004046E7"/>
    <w:rsid w:val="004055A5"/>
    <w:rsid w:val="00406438"/>
    <w:rsid w:val="00411596"/>
    <w:rsid w:val="004124B9"/>
    <w:rsid w:val="00413086"/>
    <w:rsid w:val="00413A94"/>
    <w:rsid w:val="004172E0"/>
    <w:rsid w:val="00417AE9"/>
    <w:rsid w:val="00421695"/>
    <w:rsid w:val="004217DA"/>
    <w:rsid w:val="004243E0"/>
    <w:rsid w:val="00425A61"/>
    <w:rsid w:val="00425ABB"/>
    <w:rsid w:val="00425B98"/>
    <w:rsid w:val="00426813"/>
    <w:rsid w:val="004270A8"/>
    <w:rsid w:val="00427818"/>
    <w:rsid w:val="00432541"/>
    <w:rsid w:val="004329BE"/>
    <w:rsid w:val="00443A15"/>
    <w:rsid w:val="0044687A"/>
    <w:rsid w:val="0045088A"/>
    <w:rsid w:val="00451719"/>
    <w:rsid w:val="00452039"/>
    <w:rsid w:val="0045318D"/>
    <w:rsid w:val="004554BB"/>
    <w:rsid w:val="004558D9"/>
    <w:rsid w:val="00457764"/>
    <w:rsid w:val="0046172E"/>
    <w:rsid w:val="0046238A"/>
    <w:rsid w:val="00464BF2"/>
    <w:rsid w:val="00465A81"/>
    <w:rsid w:val="004666C1"/>
    <w:rsid w:val="004674C2"/>
    <w:rsid w:val="00471646"/>
    <w:rsid w:val="00471F3F"/>
    <w:rsid w:val="00472706"/>
    <w:rsid w:val="00473FE5"/>
    <w:rsid w:val="00474CE8"/>
    <w:rsid w:val="00474E1B"/>
    <w:rsid w:val="00474F37"/>
    <w:rsid w:val="0047629B"/>
    <w:rsid w:val="00476B79"/>
    <w:rsid w:val="00483443"/>
    <w:rsid w:val="00483AF6"/>
    <w:rsid w:val="00483C8E"/>
    <w:rsid w:val="00484F9C"/>
    <w:rsid w:val="004867D6"/>
    <w:rsid w:val="0048715E"/>
    <w:rsid w:val="00487662"/>
    <w:rsid w:val="00490BF6"/>
    <w:rsid w:val="0049185D"/>
    <w:rsid w:val="004937CB"/>
    <w:rsid w:val="00494FC4"/>
    <w:rsid w:val="004954AD"/>
    <w:rsid w:val="00496FCF"/>
    <w:rsid w:val="00497F24"/>
    <w:rsid w:val="004A0DEA"/>
    <w:rsid w:val="004A15A1"/>
    <w:rsid w:val="004A1800"/>
    <w:rsid w:val="004A1B71"/>
    <w:rsid w:val="004A30DD"/>
    <w:rsid w:val="004A5DE5"/>
    <w:rsid w:val="004A6164"/>
    <w:rsid w:val="004A7BEC"/>
    <w:rsid w:val="004B0339"/>
    <w:rsid w:val="004B1D12"/>
    <w:rsid w:val="004B2D03"/>
    <w:rsid w:val="004B2DF3"/>
    <w:rsid w:val="004B2F8E"/>
    <w:rsid w:val="004B3137"/>
    <w:rsid w:val="004B468F"/>
    <w:rsid w:val="004B51F9"/>
    <w:rsid w:val="004B5D18"/>
    <w:rsid w:val="004B6AB0"/>
    <w:rsid w:val="004B6D1B"/>
    <w:rsid w:val="004C16C7"/>
    <w:rsid w:val="004C1884"/>
    <w:rsid w:val="004C3068"/>
    <w:rsid w:val="004C3531"/>
    <w:rsid w:val="004C5703"/>
    <w:rsid w:val="004D3B59"/>
    <w:rsid w:val="004D45A4"/>
    <w:rsid w:val="004D642D"/>
    <w:rsid w:val="004D6F58"/>
    <w:rsid w:val="004D7F5E"/>
    <w:rsid w:val="004D7FAF"/>
    <w:rsid w:val="004E0BA1"/>
    <w:rsid w:val="004E5328"/>
    <w:rsid w:val="004E6FCF"/>
    <w:rsid w:val="004F12A8"/>
    <w:rsid w:val="004F2A59"/>
    <w:rsid w:val="004F2D62"/>
    <w:rsid w:val="004F35FA"/>
    <w:rsid w:val="004F4461"/>
    <w:rsid w:val="004F471A"/>
    <w:rsid w:val="004F486C"/>
    <w:rsid w:val="004F4E2E"/>
    <w:rsid w:val="004F4E3F"/>
    <w:rsid w:val="004F59D4"/>
    <w:rsid w:val="004F5D02"/>
    <w:rsid w:val="004F7273"/>
    <w:rsid w:val="004F7D64"/>
    <w:rsid w:val="00507B77"/>
    <w:rsid w:val="0051051D"/>
    <w:rsid w:val="005107EF"/>
    <w:rsid w:val="005124E4"/>
    <w:rsid w:val="00512AE1"/>
    <w:rsid w:val="0052619A"/>
    <w:rsid w:val="00526828"/>
    <w:rsid w:val="005274D9"/>
    <w:rsid w:val="0052753A"/>
    <w:rsid w:val="00530751"/>
    <w:rsid w:val="00530867"/>
    <w:rsid w:val="00531766"/>
    <w:rsid w:val="00531FD8"/>
    <w:rsid w:val="0053330B"/>
    <w:rsid w:val="00533D19"/>
    <w:rsid w:val="0054016A"/>
    <w:rsid w:val="00543460"/>
    <w:rsid w:val="005436F9"/>
    <w:rsid w:val="005447B7"/>
    <w:rsid w:val="00547057"/>
    <w:rsid w:val="005478B2"/>
    <w:rsid w:val="005512F9"/>
    <w:rsid w:val="00551727"/>
    <w:rsid w:val="00553313"/>
    <w:rsid w:val="00554D00"/>
    <w:rsid w:val="00557F9F"/>
    <w:rsid w:val="00560B56"/>
    <w:rsid w:val="0056158F"/>
    <w:rsid w:val="00561723"/>
    <w:rsid w:val="0056342E"/>
    <w:rsid w:val="00564B04"/>
    <w:rsid w:val="00564B87"/>
    <w:rsid w:val="0056590D"/>
    <w:rsid w:val="00572068"/>
    <w:rsid w:val="005733FB"/>
    <w:rsid w:val="005741EC"/>
    <w:rsid w:val="00574A76"/>
    <w:rsid w:val="0057580A"/>
    <w:rsid w:val="00576177"/>
    <w:rsid w:val="005771E8"/>
    <w:rsid w:val="00577A3D"/>
    <w:rsid w:val="0058072B"/>
    <w:rsid w:val="00580D7F"/>
    <w:rsid w:val="00580F36"/>
    <w:rsid w:val="005814B7"/>
    <w:rsid w:val="005826F9"/>
    <w:rsid w:val="005829A9"/>
    <w:rsid w:val="00584C0D"/>
    <w:rsid w:val="00584C23"/>
    <w:rsid w:val="0058759F"/>
    <w:rsid w:val="005901CA"/>
    <w:rsid w:val="005925EC"/>
    <w:rsid w:val="005926DC"/>
    <w:rsid w:val="005941F7"/>
    <w:rsid w:val="00595968"/>
    <w:rsid w:val="005978B5"/>
    <w:rsid w:val="005A22FA"/>
    <w:rsid w:val="005A2CB4"/>
    <w:rsid w:val="005A519A"/>
    <w:rsid w:val="005A5D47"/>
    <w:rsid w:val="005A5ECD"/>
    <w:rsid w:val="005A7072"/>
    <w:rsid w:val="005B13BF"/>
    <w:rsid w:val="005B1502"/>
    <w:rsid w:val="005B1B4C"/>
    <w:rsid w:val="005B2AC3"/>
    <w:rsid w:val="005B32A2"/>
    <w:rsid w:val="005B3409"/>
    <w:rsid w:val="005B4566"/>
    <w:rsid w:val="005B7B58"/>
    <w:rsid w:val="005B7F21"/>
    <w:rsid w:val="005C2377"/>
    <w:rsid w:val="005C2738"/>
    <w:rsid w:val="005C3FA0"/>
    <w:rsid w:val="005C4A1D"/>
    <w:rsid w:val="005C69EB"/>
    <w:rsid w:val="005C6B39"/>
    <w:rsid w:val="005D07B2"/>
    <w:rsid w:val="005D135F"/>
    <w:rsid w:val="005D2CD7"/>
    <w:rsid w:val="005E0853"/>
    <w:rsid w:val="005E08E0"/>
    <w:rsid w:val="005E1F75"/>
    <w:rsid w:val="005E27C1"/>
    <w:rsid w:val="005E2C02"/>
    <w:rsid w:val="005E49A8"/>
    <w:rsid w:val="005E4E46"/>
    <w:rsid w:val="005E513A"/>
    <w:rsid w:val="005E63C6"/>
    <w:rsid w:val="005E6B7F"/>
    <w:rsid w:val="005E6ECB"/>
    <w:rsid w:val="005E7CF0"/>
    <w:rsid w:val="005F075D"/>
    <w:rsid w:val="005F0CE6"/>
    <w:rsid w:val="005F317B"/>
    <w:rsid w:val="005F3897"/>
    <w:rsid w:val="005F77D7"/>
    <w:rsid w:val="0060610E"/>
    <w:rsid w:val="006070D8"/>
    <w:rsid w:val="0061072B"/>
    <w:rsid w:val="006113F4"/>
    <w:rsid w:val="006113FA"/>
    <w:rsid w:val="006149AB"/>
    <w:rsid w:val="00614A17"/>
    <w:rsid w:val="00616D4B"/>
    <w:rsid w:val="00620041"/>
    <w:rsid w:val="006208EE"/>
    <w:rsid w:val="00620C2F"/>
    <w:rsid w:val="00621D3A"/>
    <w:rsid w:val="00622822"/>
    <w:rsid w:val="006249B7"/>
    <w:rsid w:val="00625266"/>
    <w:rsid w:val="00626D3E"/>
    <w:rsid w:val="006270B1"/>
    <w:rsid w:val="006276C5"/>
    <w:rsid w:val="00627B02"/>
    <w:rsid w:val="00632032"/>
    <w:rsid w:val="006323D6"/>
    <w:rsid w:val="0064169B"/>
    <w:rsid w:val="006418CE"/>
    <w:rsid w:val="00641B21"/>
    <w:rsid w:val="00647532"/>
    <w:rsid w:val="00647D6F"/>
    <w:rsid w:val="00647FA3"/>
    <w:rsid w:val="006512CC"/>
    <w:rsid w:val="0065229A"/>
    <w:rsid w:val="006534AD"/>
    <w:rsid w:val="00653729"/>
    <w:rsid w:val="00654B12"/>
    <w:rsid w:val="006556E5"/>
    <w:rsid w:val="006558C2"/>
    <w:rsid w:val="006631ED"/>
    <w:rsid w:val="00663823"/>
    <w:rsid w:val="00666D2D"/>
    <w:rsid w:val="0066725A"/>
    <w:rsid w:val="00671CAB"/>
    <w:rsid w:val="00672291"/>
    <w:rsid w:val="0067239A"/>
    <w:rsid w:val="00674FD4"/>
    <w:rsid w:val="006806B3"/>
    <w:rsid w:val="006807D3"/>
    <w:rsid w:val="00680D74"/>
    <w:rsid w:val="006813D3"/>
    <w:rsid w:val="00682070"/>
    <w:rsid w:val="00682833"/>
    <w:rsid w:val="00683794"/>
    <w:rsid w:val="00685587"/>
    <w:rsid w:val="006874B0"/>
    <w:rsid w:val="006876F9"/>
    <w:rsid w:val="006903EC"/>
    <w:rsid w:val="006925C1"/>
    <w:rsid w:val="00692BFC"/>
    <w:rsid w:val="00694266"/>
    <w:rsid w:val="00694ED8"/>
    <w:rsid w:val="006956C0"/>
    <w:rsid w:val="00695C99"/>
    <w:rsid w:val="006A00AC"/>
    <w:rsid w:val="006A02F1"/>
    <w:rsid w:val="006A346E"/>
    <w:rsid w:val="006A586F"/>
    <w:rsid w:val="006A5C68"/>
    <w:rsid w:val="006A696A"/>
    <w:rsid w:val="006A6FC7"/>
    <w:rsid w:val="006B1D68"/>
    <w:rsid w:val="006B4F14"/>
    <w:rsid w:val="006B5AD2"/>
    <w:rsid w:val="006B738C"/>
    <w:rsid w:val="006C263E"/>
    <w:rsid w:val="006C26EB"/>
    <w:rsid w:val="006C2EA2"/>
    <w:rsid w:val="006C3C09"/>
    <w:rsid w:val="006C3CD2"/>
    <w:rsid w:val="006C4ABB"/>
    <w:rsid w:val="006C5281"/>
    <w:rsid w:val="006C572A"/>
    <w:rsid w:val="006D117A"/>
    <w:rsid w:val="006D1C07"/>
    <w:rsid w:val="006D34AC"/>
    <w:rsid w:val="006D452D"/>
    <w:rsid w:val="006D5490"/>
    <w:rsid w:val="006D580A"/>
    <w:rsid w:val="006E0C1E"/>
    <w:rsid w:val="006E3847"/>
    <w:rsid w:val="006E499D"/>
    <w:rsid w:val="006E6011"/>
    <w:rsid w:val="006E6D3F"/>
    <w:rsid w:val="006E77AB"/>
    <w:rsid w:val="006E7844"/>
    <w:rsid w:val="006F1903"/>
    <w:rsid w:val="006F2F4A"/>
    <w:rsid w:val="006F5B1B"/>
    <w:rsid w:val="006F6B8E"/>
    <w:rsid w:val="006F7F55"/>
    <w:rsid w:val="00700EDF"/>
    <w:rsid w:val="0070186B"/>
    <w:rsid w:val="00702C9E"/>
    <w:rsid w:val="00704024"/>
    <w:rsid w:val="00705846"/>
    <w:rsid w:val="00705A7E"/>
    <w:rsid w:val="00705C85"/>
    <w:rsid w:val="00705E2C"/>
    <w:rsid w:val="007078A8"/>
    <w:rsid w:val="00710AC7"/>
    <w:rsid w:val="00712E66"/>
    <w:rsid w:val="00715613"/>
    <w:rsid w:val="007175A7"/>
    <w:rsid w:val="00717D7D"/>
    <w:rsid w:val="007204C4"/>
    <w:rsid w:val="00720ECC"/>
    <w:rsid w:val="007218F5"/>
    <w:rsid w:val="00721B16"/>
    <w:rsid w:val="00725281"/>
    <w:rsid w:val="007272C8"/>
    <w:rsid w:val="0073035C"/>
    <w:rsid w:val="00731E32"/>
    <w:rsid w:val="007329DD"/>
    <w:rsid w:val="007336B2"/>
    <w:rsid w:val="00734CDA"/>
    <w:rsid w:val="00734DDD"/>
    <w:rsid w:val="00744806"/>
    <w:rsid w:val="0074509D"/>
    <w:rsid w:val="0074614D"/>
    <w:rsid w:val="0074644B"/>
    <w:rsid w:val="00746771"/>
    <w:rsid w:val="007476A0"/>
    <w:rsid w:val="00750B84"/>
    <w:rsid w:val="007512B2"/>
    <w:rsid w:val="00751D69"/>
    <w:rsid w:val="00754800"/>
    <w:rsid w:val="00756143"/>
    <w:rsid w:val="00756346"/>
    <w:rsid w:val="007567E3"/>
    <w:rsid w:val="007570AB"/>
    <w:rsid w:val="00760067"/>
    <w:rsid w:val="00760378"/>
    <w:rsid w:val="00760CD2"/>
    <w:rsid w:val="00760F78"/>
    <w:rsid w:val="0076114B"/>
    <w:rsid w:val="00761AEF"/>
    <w:rsid w:val="00762FFF"/>
    <w:rsid w:val="007630B6"/>
    <w:rsid w:val="00763EB8"/>
    <w:rsid w:val="007645A4"/>
    <w:rsid w:val="00765088"/>
    <w:rsid w:val="007711AE"/>
    <w:rsid w:val="007732E9"/>
    <w:rsid w:val="00773A79"/>
    <w:rsid w:val="00774D13"/>
    <w:rsid w:val="00782147"/>
    <w:rsid w:val="00782F33"/>
    <w:rsid w:val="00786450"/>
    <w:rsid w:val="00790F69"/>
    <w:rsid w:val="007915D0"/>
    <w:rsid w:val="0079191E"/>
    <w:rsid w:val="007929E8"/>
    <w:rsid w:val="00792D3E"/>
    <w:rsid w:val="007970BF"/>
    <w:rsid w:val="00797BFE"/>
    <w:rsid w:val="007A1136"/>
    <w:rsid w:val="007A17F2"/>
    <w:rsid w:val="007A243B"/>
    <w:rsid w:val="007A3757"/>
    <w:rsid w:val="007A38A3"/>
    <w:rsid w:val="007A43C5"/>
    <w:rsid w:val="007A49E7"/>
    <w:rsid w:val="007A66C6"/>
    <w:rsid w:val="007B05D0"/>
    <w:rsid w:val="007B4370"/>
    <w:rsid w:val="007B54FB"/>
    <w:rsid w:val="007B6A2B"/>
    <w:rsid w:val="007B748D"/>
    <w:rsid w:val="007B7E1B"/>
    <w:rsid w:val="007C03FA"/>
    <w:rsid w:val="007C1937"/>
    <w:rsid w:val="007C1E29"/>
    <w:rsid w:val="007C3342"/>
    <w:rsid w:val="007C3B80"/>
    <w:rsid w:val="007C3BE9"/>
    <w:rsid w:val="007C3F81"/>
    <w:rsid w:val="007C4E46"/>
    <w:rsid w:val="007C51D8"/>
    <w:rsid w:val="007C7BA6"/>
    <w:rsid w:val="007D00C7"/>
    <w:rsid w:val="007D1A86"/>
    <w:rsid w:val="007D2BA4"/>
    <w:rsid w:val="007D5B99"/>
    <w:rsid w:val="007D70F0"/>
    <w:rsid w:val="007E3019"/>
    <w:rsid w:val="007E3B93"/>
    <w:rsid w:val="007E6A29"/>
    <w:rsid w:val="007F060B"/>
    <w:rsid w:val="00800A60"/>
    <w:rsid w:val="00800AE0"/>
    <w:rsid w:val="00803A72"/>
    <w:rsid w:val="00804EE5"/>
    <w:rsid w:val="008066BE"/>
    <w:rsid w:val="00807D76"/>
    <w:rsid w:val="00813A66"/>
    <w:rsid w:val="0081490E"/>
    <w:rsid w:val="0081508D"/>
    <w:rsid w:val="0081518A"/>
    <w:rsid w:val="00817A17"/>
    <w:rsid w:val="00820CD8"/>
    <w:rsid w:val="00821B8D"/>
    <w:rsid w:val="00821B9D"/>
    <w:rsid w:val="0082345F"/>
    <w:rsid w:val="00823937"/>
    <w:rsid w:val="00824498"/>
    <w:rsid w:val="008248C1"/>
    <w:rsid w:val="0082700C"/>
    <w:rsid w:val="008277BF"/>
    <w:rsid w:val="00827C14"/>
    <w:rsid w:val="008310DD"/>
    <w:rsid w:val="00831197"/>
    <w:rsid w:val="0083247C"/>
    <w:rsid w:val="00834E61"/>
    <w:rsid w:val="00836263"/>
    <w:rsid w:val="00836A85"/>
    <w:rsid w:val="00837BC7"/>
    <w:rsid w:val="00837EC3"/>
    <w:rsid w:val="00841FCF"/>
    <w:rsid w:val="0084414B"/>
    <w:rsid w:val="00844FCF"/>
    <w:rsid w:val="008535B7"/>
    <w:rsid w:val="00855251"/>
    <w:rsid w:val="008576B5"/>
    <w:rsid w:val="0086081C"/>
    <w:rsid w:val="00860C98"/>
    <w:rsid w:val="0086211B"/>
    <w:rsid w:val="00862FB1"/>
    <w:rsid w:val="00864B83"/>
    <w:rsid w:val="008679D7"/>
    <w:rsid w:val="008715A4"/>
    <w:rsid w:val="00872CAE"/>
    <w:rsid w:val="00874DA5"/>
    <w:rsid w:val="0087634F"/>
    <w:rsid w:val="00877CD1"/>
    <w:rsid w:val="008805C7"/>
    <w:rsid w:val="008813DE"/>
    <w:rsid w:val="00885852"/>
    <w:rsid w:val="00890475"/>
    <w:rsid w:val="00892323"/>
    <w:rsid w:val="0089241C"/>
    <w:rsid w:val="00893765"/>
    <w:rsid w:val="00896346"/>
    <w:rsid w:val="008966EA"/>
    <w:rsid w:val="008A0C1A"/>
    <w:rsid w:val="008A194C"/>
    <w:rsid w:val="008A34CE"/>
    <w:rsid w:val="008A3B2E"/>
    <w:rsid w:val="008A4576"/>
    <w:rsid w:val="008B1072"/>
    <w:rsid w:val="008B62FA"/>
    <w:rsid w:val="008B6D31"/>
    <w:rsid w:val="008C0155"/>
    <w:rsid w:val="008C27D5"/>
    <w:rsid w:val="008C3261"/>
    <w:rsid w:val="008C3A70"/>
    <w:rsid w:val="008C5FA2"/>
    <w:rsid w:val="008C61C2"/>
    <w:rsid w:val="008C6F42"/>
    <w:rsid w:val="008D1EAA"/>
    <w:rsid w:val="008D22A5"/>
    <w:rsid w:val="008D2388"/>
    <w:rsid w:val="008D317F"/>
    <w:rsid w:val="008D3826"/>
    <w:rsid w:val="008D5417"/>
    <w:rsid w:val="008E0738"/>
    <w:rsid w:val="008E1013"/>
    <w:rsid w:val="008E1B91"/>
    <w:rsid w:val="008E1DF1"/>
    <w:rsid w:val="008E22BD"/>
    <w:rsid w:val="008E348D"/>
    <w:rsid w:val="008E351F"/>
    <w:rsid w:val="008E37F3"/>
    <w:rsid w:val="008E3EE0"/>
    <w:rsid w:val="008E4D29"/>
    <w:rsid w:val="008E5563"/>
    <w:rsid w:val="008E6775"/>
    <w:rsid w:val="008E67FF"/>
    <w:rsid w:val="008E7373"/>
    <w:rsid w:val="008F065E"/>
    <w:rsid w:val="008F257B"/>
    <w:rsid w:val="008F3570"/>
    <w:rsid w:val="008F4349"/>
    <w:rsid w:val="008F5B03"/>
    <w:rsid w:val="008F6020"/>
    <w:rsid w:val="008F746E"/>
    <w:rsid w:val="00901BDC"/>
    <w:rsid w:val="00902DF5"/>
    <w:rsid w:val="00910189"/>
    <w:rsid w:val="00910BE0"/>
    <w:rsid w:val="00913132"/>
    <w:rsid w:val="009132A1"/>
    <w:rsid w:val="009137B9"/>
    <w:rsid w:val="009141C2"/>
    <w:rsid w:val="00921740"/>
    <w:rsid w:val="009222D3"/>
    <w:rsid w:val="00922FE4"/>
    <w:rsid w:val="00923FD1"/>
    <w:rsid w:val="009240A8"/>
    <w:rsid w:val="00927AAE"/>
    <w:rsid w:val="0093283B"/>
    <w:rsid w:val="009328D5"/>
    <w:rsid w:val="009344D4"/>
    <w:rsid w:val="009376CB"/>
    <w:rsid w:val="00941A19"/>
    <w:rsid w:val="009443F7"/>
    <w:rsid w:val="00944702"/>
    <w:rsid w:val="0094552D"/>
    <w:rsid w:val="0094555F"/>
    <w:rsid w:val="009478CD"/>
    <w:rsid w:val="00950E9E"/>
    <w:rsid w:val="00950EB5"/>
    <w:rsid w:val="0095113F"/>
    <w:rsid w:val="00951474"/>
    <w:rsid w:val="00951AD8"/>
    <w:rsid w:val="00951BFD"/>
    <w:rsid w:val="00952728"/>
    <w:rsid w:val="00952CBB"/>
    <w:rsid w:val="00953788"/>
    <w:rsid w:val="009546D8"/>
    <w:rsid w:val="009553BC"/>
    <w:rsid w:val="00955409"/>
    <w:rsid w:val="00955660"/>
    <w:rsid w:val="00955A0D"/>
    <w:rsid w:val="00960B92"/>
    <w:rsid w:val="00961AF9"/>
    <w:rsid w:val="00963677"/>
    <w:rsid w:val="00964CAC"/>
    <w:rsid w:val="00965A39"/>
    <w:rsid w:val="00966461"/>
    <w:rsid w:val="009664E4"/>
    <w:rsid w:val="00972A29"/>
    <w:rsid w:val="00972F26"/>
    <w:rsid w:val="0097312D"/>
    <w:rsid w:val="0097610E"/>
    <w:rsid w:val="00976DB9"/>
    <w:rsid w:val="00982002"/>
    <w:rsid w:val="009850FE"/>
    <w:rsid w:val="00986140"/>
    <w:rsid w:val="00986C79"/>
    <w:rsid w:val="009911A8"/>
    <w:rsid w:val="00992050"/>
    <w:rsid w:val="00992998"/>
    <w:rsid w:val="009933D0"/>
    <w:rsid w:val="0099435A"/>
    <w:rsid w:val="00995605"/>
    <w:rsid w:val="00995A52"/>
    <w:rsid w:val="00996C87"/>
    <w:rsid w:val="009A0942"/>
    <w:rsid w:val="009A0C39"/>
    <w:rsid w:val="009A106B"/>
    <w:rsid w:val="009A25A3"/>
    <w:rsid w:val="009A2AAE"/>
    <w:rsid w:val="009A5D8F"/>
    <w:rsid w:val="009A6512"/>
    <w:rsid w:val="009A6BF4"/>
    <w:rsid w:val="009B07A1"/>
    <w:rsid w:val="009B1CCC"/>
    <w:rsid w:val="009B1DB0"/>
    <w:rsid w:val="009B2154"/>
    <w:rsid w:val="009B2ECC"/>
    <w:rsid w:val="009B7F51"/>
    <w:rsid w:val="009C0840"/>
    <w:rsid w:val="009C390F"/>
    <w:rsid w:val="009C3AA8"/>
    <w:rsid w:val="009C4E33"/>
    <w:rsid w:val="009C4E65"/>
    <w:rsid w:val="009C7909"/>
    <w:rsid w:val="009D0932"/>
    <w:rsid w:val="009D15E8"/>
    <w:rsid w:val="009D1BE7"/>
    <w:rsid w:val="009D307A"/>
    <w:rsid w:val="009D3E69"/>
    <w:rsid w:val="009D5777"/>
    <w:rsid w:val="009D6848"/>
    <w:rsid w:val="009E0302"/>
    <w:rsid w:val="009E11FF"/>
    <w:rsid w:val="009E1B25"/>
    <w:rsid w:val="009E33B4"/>
    <w:rsid w:val="009E6587"/>
    <w:rsid w:val="009E6B15"/>
    <w:rsid w:val="009F1A4C"/>
    <w:rsid w:val="009F31A1"/>
    <w:rsid w:val="009F5725"/>
    <w:rsid w:val="009F5C45"/>
    <w:rsid w:val="009F7BE1"/>
    <w:rsid w:val="00A0171B"/>
    <w:rsid w:val="00A01A82"/>
    <w:rsid w:val="00A045CB"/>
    <w:rsid w:val="00A05683"/>
    <w:rsid w:val="00A066F9"/>
    <w:rsid w:val="00A06DB1"/>
    <w:rsid w:val="00A07129"/>
    <w:rsid w:val="00A0737F"/>
    <w:rsid w:val="00A12FC4"/>
    <w:rsid w:val="00A14454"/>
    <w:rsid w:val="00A23E31"/>
    <w:rsid w:val="00A324E8"/>
    <w:rsid w:val="00A33B6D"/>
    <w:rsid w:val="00A33B88"/>
    <w:rsid w:val="00A34767"/>
    <w:rsid w:val="00A34933"/>
    <w:rsid w:val="00A35B9D"/>
    <w:rsid w:val="00A3606B"/>
    <w:rsid w:val="00A37628"/>
    <w:rsid w:val="00A4044B"/>
    <w:rsid w:val="00A45BA5"/>
    <w:rsid w:val="00A462F6"/>
    <w:rsid w:val="00A503E1"/>
    <w:rsid w:val="00A52F81"/>
    <w:rsid w:val="00A5735D"/>
    <w:rsid w:val="00A57F39"/>
    <w:rsid w:val="00A60715"/>
    <w:rsid w:val="00A62FC2"/>
    <w:rsid w:val="00A63471"/>
    <w:rsid w:val="00A63711"/>
    <w:rsid w:val="00A637A1"/>
    <w:rsid w:val="00A63915"/>
    <w:rsid w:val="00A6392F"/>
    <w:rsid w:val="00A65263"/>
    <w:rsid w:val="00A65D8B"/>
    <w:rsid w:val="00A735A6"/>
    <w:rsid w:val="00A75011"/>
    <w:rsid w:val="00A775DE"/>
    <w:rsid w:val="00A805DF"/>
    <w:rsid w:val="00A812B3"/>
    <w:rsid w:val="00A81D64"/>
    <w:rsid w:val="00A82486"/>
    <w:rsid w:val="00A83565"/>
    <w:rsid w:val="00A87023"/>
    <w:rsid w:val="00A87079"/>
    <w:rsid w:val="00A87512"/>
    <w:rsid w:val="00A877F4"/>
    <w:rsid w:val="00A918B6"/>
    <w:rsid w:val="00A91B52"/>
    <w:rsid w:val="00A94592"/>
    <w:rsid w:val="00A94AF6"/>
    <w:rsid w:val="00A96A62"/>
    <w:rsid w:val="00A97657"/>
    <w:rsid w:val="00A97EA1"/>
    <w:rsid w:val="00AA0921"/>
    <w:rsid w:val="00AA1990"/>
    <w:rsid w:val="00AA29D7"/>
    <w:rsid w:val="00AA5155"/>
    <w:rsid w:val="00AA6016"/>
    <w:rsid w:val="00AA7361"/>
    <w:rsid w:val="00AB270F"/>
    <w:rsid w:val="00AB37D7"/>
    <w:rsid w:val="00AB6E2B"/>
    <w:rsid w:val="00AB76F0"/>
    <w:rsid w:val="00AC0E09"/>
    <w:rsid w:val="00AC4FF6"/>
    <w:rsid w:val="00AD52B7"/>
    <w:rsid w:val="00AD6C78"/>
    <w:rsid w:val="00AE3628"/>
    <w:rsid w:val="00AE3D29"/>
    <w:rsid w:val="00AE54F3"/>
    <w:rsid w:val="00AE70FD"/>
    <w:rsid w:val="00AF05B1"/>
    <w:rsid w:val="00AF0E62"/>
    <w:rsid w:val="00AF145D"/>
    <w:rsid w:val="00AF1F6C"/>
    <w:rsid w:val="00AF2A78"/>
    <w:rsid w:val="00B017EE"/>
    <w:rsid w:val="00B021E3"/>
    <w:rsid w:val="00B03EB1"/>
    <w:rsid w:val="00B112D8"/>
    <w:rsid w:val="00B11D08"/>
    <w:rsid w:val="00B12CBF"/>
    <w:rsid w:val="00B146F6"/>
    <w:rsid w:val="00B15BE4"/>
    <w:rsid w:val="00B15FD6"/>
    <w:rsid w:val="00B22817"/>
    <w:rsid w:val="00B235C2"/>
    <w:rsid w:val="00B25263"/>
    <w:rsid w:val="00B256C6"/>
    <w:rsid w:val="00B25BA9"/>
    <w:rsid w:val="00B27651"/>
    <w:rsid w:val="00B30024"/>
    <w:rsid w:val="00B315EF"/>
    <w:rsid w:val="00B3299F"/>
    <w:rsid w:val="00B3385C"/>
    <w:rsid w:val="00B340A7"/>
    <w:rsid w:val="00B40BCC"/>
    <w:rsid w:val="00B4210A"/>
    <w:rsid w:val="00B43A3A"/>
    <w:rsid w:val="00B4436C"/>
    <w:rsid w:val="00B45907"/>
    <w:rsid w:val="00B45DE2"/>
    <w:rsid w:val="00B4616E"/>
    <w:rsid w:val="00B47CFA"/>
    <w:rsid w:val="00B502BE"/>
    <w:rsid w:val="00B504BF"/>
    <w:rsid w:val="00B50945"/>
    <w:rsid w:val="00B51F92"/>
    <w:rsid w:val="00B5246F"/>
    <w:rsid w:val="00B5271A"/>
    <w:rsid w:val="00B53B4C"/>
    <w:rsid w:val="00B53C09"/>
    <w:rsid w:val="00B53C7D"/>
    <w:rsid w:val="00B574BD"/>
    <w:rsid w:val="00B57DFC"/>
    <w:rsid w:val="00B601F0"/>
    <w:rsid w:val="00B61339"/>
    <w:rsid w:val="00B61660"/>
    <w:rsid w:val="00B618B1"/>
    <w:rsid w:val="00B67684"/>
    <w:rsid w:val="00B761BE"/>
    <w:rsid w:val="00B86537"/>
    <w:rsid w:val="00B86AA1"/>
    <w:rsid w:val="00B92AE2"/>
    <w:rsid w:val="00B9314A"/>
    <w:rsid w:val="00B9633A"/>
    <w:rsid w:val="00B97EF6"/>
    <w:rsid w:val="00BA054F"/>
    <w:rsid w:val="00BA1118"/>
    <w:rsid w:val="00BA19C8"/>
    <w:rsid w:val="00BA1C1B"/>
    <w:rsid w:val="00BA37FD"/>
    <w:rsid w:val="00BA6B7B"/>
    <w:rsid w:val="00BA77F7"/>
    <w:rsid w:val="00BB3B2A"/>
    <w:rsid w:val="00BB48DF"/>
    <w:rsid w:val="00BB7857"/>
    <w:rsid w:val="00BB7993"/>
    <w:rsid w:val="00BC0440"/>
    <w:rsid w:val="00BC0A1B"/>
    <w:rsid w:val="00BC1F61"/>
    <w:rsid w:val="00BC351F"/>
    <w:rsid w:val="00BC4B2A"/>
    <w:rsid w:val="00BC5088"/>
    <w:rsid w:val="00BC7FB4"/>
    <w:rsid w:val="00BD481E"/>
    <w:rsid w:val="00BE1242"/>
    <w:rsid w:val="00BE16F9"/>
    <w:rsid w:val="00BE19F6"/>
    <w:rsid w:val="00BE264A"/>
    <w:rsid w:val="00BE2791"/>
    <w:rsid w:val="00BF092C"/>
    <w:rsid w:val="00BF2842"/>
    <w:rsid w:val="00BF501A"/>
    <w:rsid w:val="00BF71F3"/>
    <w:rsid w:val="00BF7AEE"/>
    <w:rsid w:val="00C0209D"/>
    <w:rsid w:val="00C04E5B"/>
    <w:rsid w:val="00C05E9A"/>
    <w:rsid w:val="00C107DD"/>
    <w:rsid w:val="00C121FE"/>
    <w:rsid w:val="00C12CBC"/>
    <w:rsid w:val="00C1468F"/>
    <w:rsid w:val="00C20CFC"/>
    <w:rsid w:val="00C24307"/>
    <w:rsid w:val="00C2488E"/>
    <w:rsid w:val="00C248C7"/>
    <w:rsid w:val="00C275E5"/>
    <w:rsid w:val="00C30F74"/>
    <w:rsid w:val="00C31301"/>
    <w:rsid w:val="00C33BB5"/>
    <w:rsid w:val="00C3418A"/>
    <w:rsid w:val="00C355A9"/>
    <w:rsid w:val="00C41566"/>
    <w:rsid w:val="00C41F92"/>
    <w:rsid w:val="00C43094"/>
    <w:rsid w:val="00C43441"/>
    <w:rsid w:val="00C44246"/>
    <w:rsid w:val="00C47FD4"/>
    <w:rsid w:val="00C52513"/>
    <w:rsid w:val="00C548CF"/>
    <w:rsid w:val="00C562F2"/>
    <w:rsid w:val="00C5713E"/>
    <w:rsid w:val="00C57E42"/>
    <w:rsid w:val="00C601F5"/>
    <w:rsid w:val="00C60809"/>
    <w:rsid w:val="00C615E0"/>
    <w:rsid w:val="00C6315E"/>
    <w:rsid w:val="00C67699"/>
    <w:rsid w:val="00C67A06"/>
    <w:rsid w:val="00C72723"/>
    <w:rsid w:val="00C743EA"/>
    <w:rsid w:val="00C76E31"/>
    <w:rsid w:val="00C8056A"/>
    <w:rsid w:val="00C811C4"/>
    <w:rsid w:val="00C811F0"/>
    <w:rsid w:val="00C815EA"/>
    <w:rsid w:val="00C8309A"/>
    <w:rsid w:val="00C84119"/>
    <w:rsid w:val="00C84514"/>
    <w:rsid w:val="00C869AA"/>
    <w:rsid w:val="00C8776A"/>
    <w:rsid w:val="00C9128C"/>
    <w:rsid w:val="00C92E4A"/>
    <w:rsid w:val="00C94D12"/>
    <w:rsid w:val="00C95BEB"/>
    <w:rsid w:val="00CA15D7"/>
    <w:rsid w:val="00CA1BB5"/>
    <w:rsid w:val="00CA256B"/>
    <w:rsid w:val="00CA4805"/>
    <w:rsid w:val="00CA539C"/>
    <w:rsid w:val="00CA671D"/>
    <w:rsid w:val="00CB281E"/>
    <w:rsid w:val="00CB45FB"/>
    <w:rsid w:val="00CB7A9A"/>
    <w:rsid w:val="00CC21DB"/>
    <w:rsid w:val="00CC2BC4"/>
    <w:rsid w:val="00CC450A"/>
    <w:rsid w:val="00CD4156"/>
    <w:rsid w:val="00CD55B2"/>
    <w:rsid w:val="00CD6309"/>
    <w:rsid w:val="00CE21B7"/>
    <w:rsid w:val="00CE275F"/>
    <w:rsid w:val="00CE2CCC"/>
    <w:rsid w:val="00CE6E4D"/>
    <w:rsid w:val="00CF2125"/>
    <w:rsid w:val="00CF3C31"/>
    <w:rsid w:val="00CF45DC"/>
    <w:rsid w:val="00CF78B4"/>
    <w:rsid w:val="00D02B1C"/>
    <w:rsid w:val="00D02C8B"/>
    <w:rsid w:val="00D04EE2"/>
    <w:rsid w:val="00D061EE"/>
    <w:rsid w:val="00D07A99"/>
    <w:rsid w:val="00D104F3"/>
    <w:rsid w:val="00D11067"/>
    <w:rsid w:val="00D13D5A"/>
    <w:rsid w:val="00D13F7B"/>
    <w:rsid w:val="00D14A4B"/>
    <w:rsid w:val="00D17C38"/>
    <w:rsid w:val="00D23397"/>
    <w:rsid w:val="00D25434"/>
    <w:rsid w:val="00D256D5"/>
    <w:rsid w:val="00D26C3D"/>
    <w:rsid w:val="00D273B4"/>
    <w:rsid w:val="00D27495"/>
    <w:rsid w:val="00D302C5"/>
    <w:rsid w:val="00D302FC"/>
    <w:rsid w:val="00D31199"/>
    <w:rsid w:val="00D338CD"/>
    <w:rsid w:val="00D358F4"/>
    <w:rsid w:val="00D37CA8"/>
    <w:rsid w:val="00D37CEA"/>
    <w:rsid w:val="00D41419"/>
    <w:rsid w:val="00D41D89"/>
    <w:rsid w:val="00D42576"/>
    <w:rsid w:val="00D474A6"/>
    <w:rsid w:val="00D56404"/>
    <w:rsid w:val="00D56E6F"/>
    <w:rsid w:val="00D57034"/>
    <w:rsid w:val="00D570D1"/>
    <w:rsid w:val="00D60EB5"/>
    <w:rsid w:val="00D612DA"/>
    <w:rsid w:val="00D61FA5"/>
    <w:rsid w:val="00D644E5"/>
    <w:rsid w:val="00D64585"/>
    <w:rsid w:val="00D67B4F"/>
    <w:rsid w:val="00D7035C"/>
    <w:rsid w:val="00D7264A"/>
    <w:rsid w:val="00D72A3D"/>
    <w:rsid w:val="00D7304C"/>
    <w:rsid w:val="00D7324C"/>
    <w:rsid w:val="00D7374E"/>
    <w:rsid w:val="00D747DE"/>
    <w:rsid w:val="00D7561C"/>
    <w:rsid w:val="00D75A2E"/>
    <w:rsid w:val="00D75A45"/>
    <w:rsid w:val="00D8108B"/>
    <w:rsid w:val="00D84CD9"/>
    <w:rsid w:val="00D90846"/>
    <w:rsid w:val="00D92124"/>
    <w:rsid w:val="00D92A72"/>
    <w:rsid w:val="00D9488A"/>
    <w:rsid w:val="00D978ED"/>
    <w:rsid w:val="00DA09C2"/>
    <w:rsid w:val="00DA0CDC"/>
    <w:rsid w:val="00DA12C9"/>
    <w:rsid w:val="00DA19C9"/>
    <w:rsid w:val="00DA1A63"/>
    <w:rsid w:val="00DA2B98"/>
    <w:rsid w:val="00DA30B0"/>
    <w:rsid w:val="00DA6DF0"/>
    <w:rsid w:val="00DA6F01"/>
    <w:rsid w:val="00DA794D"/>
    <w:rsid w:val="00DB1649"/>
    <w:rsid w:val="00DB3CDD"/>
    <w:rsid w:val="00DB4A69"/>
    <w:rsid w:val="00DB5F74"/>
    <w:rsid w:val="00DB61F1"/>
    <w:rsid w:val="00DB6346"/>
    <w:rsid w:val="00DB6C19"/>
    <w:rsid w:val="00DB7732"/>
    <w:rsid w:val="00DB78B1"/>
    <w:rsid w:val="00DC060E"/>
    <w:rsid w:val="00DC24CD"/>
    <w:rsid w:val="00DC44BC"/>
    <w:rsid w:val="00DC51CA"/>
    <w:rsid w:val="00DC541E"/>
    <w:rsid w:val="00DC75FB"/>
    <w:rsid w:val="00DD1058"/>
    <w:rsid w:val="00DD1207"/>
    <w:rsid w:val="00DD14D5"/>
    <w:rsid w:val="00DD3395"/>
    <w:rsid w:val="00DD6E51"/>
    <w:rsid w:val="00DE28D1"/>
    <w:rsid w:val="00DE4337"/>
    <w:rsid w:val="00DE64EF"/>
    <w:rsid w:val="00DE7467"/>
    <w:rsid w:val="00DE7D43"/>
    <w:rsid w:val="00DF06A5"/>
    <w:rsid w:val="00DF0914"/>
    <w:rsid w:val="00DF2892"/>
    <w:rsid w:val="00DF581A"/>
    <w:rsid w:val="00E01041"/>
    <w:rsid w:val="00E01719"/>
    <w:rsid w:val="00E04D8F"/>
    <w:rsid w:val="00E065A9"/>
    <w:rsid w:val="00E1221D"/>
    <w:rsid w:val="00E12ADD"/>
    <w:rsid w:val="00E1360C"/>
    <w:rsid w:val="00E146E4"/>
    <w:rsid w:val="00E14798"/>
    <w:rsid w:val="00E14C0D"/>
    <w:rsid w:val="00E15877"/>
    <w:rsid w:val="00E15938"/>
    <w:rsid w:val="00E168D7"/>
    <w:rsid w:val="00E2068B"/>
    <w:rsid w:val="00E2076B"/>
    <w:rsid w:val="00E2188D"/>
    <w:rsid w:val="00E2195D"/>
    <w:rsid w:val="00E227FF"/>
    <w:rsid w:val="00E26C16"/>
    <w:rsid w:val="00E329CF"/>
    <w:rsid w:val="00E347AD"/>
    <w:rsid w:val="00E34A4D"/>
    <w:rsid w:val="00E36CEA"/>
    <w:rsid w:val="00E374D5"/>
    <w:rsid w:val="00E3789E"/>
    <w:rsid w:val="00E401E1"/>
    <w:rsid w:val="00E40667"/>
    <w:rsid w:val="00E425AA"/>
    <w:rsid w:val="00E44DC5"/>
    <w:rsid w:val="00E4587B"/>
    <w:rsid w:val="00E460B0"/>
    <w:rsid w:val="00E477FC"/>
    <w:rsid w:val="00E506BD"/>
    <w:rsid w:val="00E51D0F"/>
    <w:rsid w:val="00E5642B"/>
    <w:rsid w:val="00E56E50"/>
    <w:rsid w:val="00E56EF4"/>
    <w:rsid w:val="00E60F26"/>
    <w:rsid w:val="00E61A07"/>
    <w:rsid w:val="00E62B0E"/>
    <w:rsid w:val="00E63272"/>
    <w:rsid w:val="00E71918"/>
    <w:rsid w:val="00E72A14"/>
    <w:rsid w:val="00E73A1F"/>
    <w:rsid w:val="00E73C9F"/>
    <w:rsid w:val="00E7486A"/>
    <w:rsid w:val="00E75E08"/>
    <w:rsid w:val="00E761F0"/>
    <w:rsid w:val="00E76DCF"/>
    <w:rsid w:val="00E818F2"/>
    <w:rsid w:val="00E837C9"/>
    <w:rsid w:val="00E83A34"/>
    <w:rsid w:val="00E8487D"/>
    <w:rsid w:val="00E90B6E"/>
    <w:rsid w:val="00E9201B"/>
    <w:rsid w:val="00E934D8"/>
    <w:rsid w:val="00E94EBD"/>
    <w:rsid w:val="00E963FF"/>
    <w:rsid w:val="00E96AC0"/>
    <w:rsid w:val="00EA0E54"/>
    <w:rsid w:val="00EA147E"/>
    <w:rsid w:val="00EA2034"/>
    <w:rsid w:val="00EA5CA4"/>
    <w:rsid w:val="00EA71C2"/>
    <w:rsid w:val="00EB2533"/>
    <w:rsid w:val="00EB33C1"/>
    <w:rsid w:val="00EB388D"/>
    <w:rsid w:val="00EB4731"/>
    <w:rsid w:val="00EB67E6"/>
    <w:rsid w:val="00EC0EDE"/>
    <w:rsid w:val="00EC2D10"/>
    <w:rsid w:val="00EC5C8E"/>
    <w:rsid w:val="00EC7E1A"/>
    <w:rsid w:val="00ED03CE"/>
    <w:rsid w:val="00ED3210"/>
    <w:rsid w:val="00ED3713"/>
    <w:rsid w:val="00EE02D8"/>
    <w:rsid w:val="00EE055B"/>
    <w:rsid w:val="00EE0B18"/>
    <w:rsid w:val="00EE11A4"/>
    <w:rsid w:val="00EE2230"/>
    <w:rsid w:val="00EE33CF"/>
    <w:rsid w:val="00EE4C86"/>
    <w:rsid w:val="00EF24D4"/>
    <w:rsid w:val="00EF2B99"/>
    <w:rsid w:val="00EF5D7F"/>
    <w:rsid w:val="00EF6E81"/>
    <w:rsid w:val="00EF6FFE"/>
    <w:rsid w:val="00F02BC6"/>
    <w:rsid w:val="00F04E49"/>
    <w:rsid w:val="00F06424"/>
    <w:rsid w:val="00F06476"/>
    <w:rsid w:val="00F06C09"/>
    <w:rsid w:val="00F06E22"/>
    <w:rsid w:val="00F1058B"/>
    <w:rsid w:val="00F10852"/>
    <w:rsid w:val="00F10B49"/>
    <w:rsid w:val="00F11775"/>
    <w:rsid w:val="00F119F6"/>
    <w:rsid w:val="00F11B95"/>
    <w:rsid w:val="00F12809"/>
    <w:rsid w:val="00F17A89"/>
    <w:rsid w:val="00F21E29"/>
    <w:rsid w:val="00F22923"/>
    <w:rsid w:val="00F231ED"/>
    <w:rsid w:val="00F24004"/>
    <w:rsid w:val="00F2696A"/>
    <w:rsid w:val="00F26A40"/>
    <w:rsid w:val="00F305C2"/>
    <w:rsid w:val="00F320A9"/>
    <w:rsid w:val="00F36C68"/>
    <w:rsid w:val="00F371EB"/>
    <w:rsid w:val="00F37C9E"/>
    <w:rsid w:val="00F40C2F"/>
    <w:rsid w:val="00F419CD"/>
    <w:rsid w:val="00F421B5"/>
    <w:rsid w:val="00F42790"/>
    <w:rsid w:val="00F443A9"/>
    <w:rsid w:val="00F50FD6"/>
    <w:rsid w:val="00F5129F"/>
    <w:rsid w:val="00F51603"/>
    <w:rsid w:val="00F550C2"/>
    <w:rsid w:val="00F60002"/>
    <w:rsid w:val="00F60E54"/>
    <w:rsid w:val="00F618C7"/>
    <w:rsid w:val="00F62396"/>
    <w:rsid w:val="00F62CD9"/>
    <w:rsid w:val="00F63290"/>
    <w:rsid w:val="00F64232"/>
    <w:rsid w:val="00F66E52"/>
    <w:rsid w:val="00F672A1"/>
    <w:rsid w:val="00F67519"/>
    <w:rsid w:val="00F713AE"/>
    <w:rsid w:val="00F71880"/>
    <w:rsid w:val="00F7247E"/>
    <w:rsid w:val="00F72C4E"/>
    <w:rsid w:val="00F7540B"/>
    <w:rsid w:val="00F75955"/>
    <w:rsid w:val="00F84D2E"/>
    <w:rsid w:val="00F859B0"/>
    <w:rsid w:val="00F87534"/>
    <w:rsid w:val="00F878DD"/>
    <w:rsid w:val="00F9039F"/>
    <w:rsid w:val="00F913C7"/>
    <w:rsid w:val="00F91AC5"/>
    <w:rsid w:val="00F92F69"/>
    <w:rsid w:val="00F93B43"/>
    <w:rsid w:val="00F93C58"/>
    <w:rsid w:val="00F95487"/>
    <w:rsid w:val="00F97BB7"/>
    <w:rsid w:val="00FA0F3F"/>
    <w:rsid w:val="00FA507C"/>
    <w:rsid w:val="00FA70E7"/>
    <w:rsid w:val="00FB1B03"/>
    <w:rsid w:val="00FB1B77"/>
    <w:rsid w:val="00FB431E"/>
    <w:rsid w:val="00FB5DC9"/>
    <w:rsid w:val="00FB5F74"/>
    <w:rsid w:val="00FB611E"/>
    <w:rsid w:val="00FC139C"/>
    <w:rsid w:val="00FC1B2C"/>
    <w:rsid w:val="00FC209E"/>
    <w:rsid w:val="00FC41E3"/>
    <w:rsid w:val="00FC4734"/>
    <w:rsid w:val="00FC4823"/>
    <w:rsid w:val="00FC62F9"/>
    <w:rsid w:val="00FC661E"/>
    <w:rsid w:val="00FD066E"/>
    <w:rsid w:val="00FD11CD"/>
    <w:rsid w:val="00FD24F4"/>
    <w:rsid w:val="00FD4196"/>
    <w:rsid w:val="00FD634E"/>
    <w:rsid w:val="00FD6D5C"/>
    <w:rsid w:val="00FE0EED"/>
    <w:rsid w:val="00FE1489"/>
    <w:rsid w:val="00FE19A0"/>
    <w:rsid w:val="00FE428D"/>
    <w:rsid w:val="00FE63DB"/>
    <w:rsid w:val="00FE76AE"/>
    <w:rsid w:val="00FE7738"/>
    <w:rsid w:val="00FF48F7"/>
    <w:rsid w:val="00FF4A27"/>
    <w:rsid w:val="00FF536D"/>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48252">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413817880">
      <w:bodyDiv w:val="1"/>
      <w:marLeft w:val="0"/>
      <w:marRight w:val="0"/>
      <w:marTop w:val="0"/>
      <w:marBottom w:val="0"/>
      <w:divBdr>
        <w:top w:val="none" w:sz="0" w:space="0" w:color="auto"/>
        <w:left w:val="none" w:sz="0" w:space="0" w:color="auto"/>
        <w:bottom w:val="none" w:sz="0" w:space="0" w:color="auto"/>
        <w:right w:val="none" w:sz="0" w:space="0" w:color="auto"/>
      </w:divBdr>
    </w:div>
    <w:div w:id="1028262978">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
    <w:div w:id="1622809167">
      <w:bodyDiv w:val="1"/>
      <w:marLeft w:val="0"/>
      <w:marRight w:val="0"/>
      <w:marTop w:val="0"/>
      <w:marBottom w:val="0"/>
      <w:divBdr>
        <w:top w:val="none" w:sz="0" w:space="0" w:color="auto"/>
        <w:left w:val="none" w:sz="0" w:space="0" w:color="auto"/>
        <w:bottom w:val="none" w:sz="0" w:space="0" w:color="auto"/>
        <w:right w:val="none" w:sz="0" w:space="0" w:color="auto"/>
      </w:divBdr>
    </w:div>
    <w:div w:id="1645499003">
      <w:bodyDiv w:val="1"/>
      <w:marLeft w:val="0"/>
      <w:marRight w:val="0"/>
      <w:marTop w:val="0"/>
      <w:marBottom w:val="0"/>
      <w:divBdr>
        <w:top w:val="none" w:sz="0" w:space="0" w:color="auto"/>
        <w:left w:val="none" w:sz="0" w:space="0" w:color="auto"/>
        <w:bottom w:val="none" w:sz="0" w:space="0" w:color="auto"/>
        <w:right w:val="none" w:sz="0" w:space="0" w:color="auto"/>
      </w:divBdr>
    </w:div>
    <w:div w:id="1666132744">
      <w:bodyDiv w:val="1"/>
      <w:marLeft w:val="0"/>
      <w:marRight w:val="0"/>
      <w:marTop w:val="0"/>
      <w:marBottom w:val="0"/>
      <w:divBdr>
        <w:top w:val="none" w:sz="0" w:space="0" w:color="auto"/>
        <w:left w:val="none" w:sz="0" w:space="0" w:color="auto"/>
        <w:bottom w:val="none" w:sz="0" w:space="0" w:color="auto"/>
        <w:right w:val="none" w:sz="0" w:space="0" w:color="auto"/>
      </w:divBdr>
    </w:div>
    <w:div w:id="1671103224">
      <w:bodyDiv w:val="1"/>
      <w:marLeft w:val="0"/>
      <w:marRight w:val="0"/>
      <w:marTop w:val="0"/>
      <w:marBottom w:val="0"/>
      <w:divBdr>
        <w:top w:val="none" w:sz="0" w:space="0" w:color="auto"/>
        <w:left w:val="none" w:sz="0" w:space="0" w:color="auto"/>
        <w:bottom w:val="none" w:sz="0" w:space="0" w:color="auto"/>
        <w:right w:val="none" w:sz="0" w:space="0" w:color="auto"/>
      </w:divBdr>
    </w:div>
    <w:div w:id="17960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EIOPA(2025)0138455</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documentManagement>
</p:properties>
</file>

<file path=customXml/itemProps1.xml><?xml version="1.0" encoding="utf-8"?>
<ds:datastoreItem xmlns:ds="http://schemas.openxmlformats.org/officeDocument/2006/customXml" ds:itemID="{3B11469E-95A1-4737-9EFA-B464E6813E33}">
  <ds:schemaRefs>
    <ds:schemaRef ds:uri="http://schemas.openxmlformats.org/officeDocument/2006/bibliography"/>
  </ds:schemaRefs>
</ds:datastoreItem>
</file>

<file path=customXml/itemProps2.xml><?xml version="1.0" encoding="utf-8"?>
<ds:datastoreItem xmlns:ds="http://schemas.openxmlformats.org/officeDocument/2006/customXml" ds:itemID="{FD2BBC88-B04B-46F3-B5D1-D6D9E704E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D44CC-713E-41F5-998D-1973EDF81EE2}">
  <ds:schemaRefs/>
</ds:datastoreItem>
</file>

<file path=customXml/itemProps4.xml><?xml version="1.0" encoding="utf-8"?>
<ds:datastoreItem xmlns:ds="http://schemas.openxmlformats.org/officeDocument/2006/customXml" ds:itemID="{E7980A41-FBFE-431E-A5F3-DC9B35DA06EF}">
  <ds:schemaRefs>
    <ds:schemaRef ds:uri="http://schemas.microsoft.com/sharepoint/v3/contenttype/forms"/>
  </ds:schemaRefs>
</ds:datastoreItem>
</file>

<file path=customXml/itemProps5.xml><?xml version="1.0" encoding="utf-8"?>
<ds:datastoreItem xmlns:ds="http://schemas.openxmlformats.org/officeDocument/2006/customXml" ds:itemID="{210D0F01-266F-413A-A44A-7E5BF1858BAD}">
  <ds:schemaRefs>
    <ds:schemaRef ds:uri="http://schemas.microsoft.com/sharepoint/v3/contenttype/forms/url"/>
  </ds:schemaRefs>
</ds:datastoreItem>
</file>

<file path=customXml/itemProps6.xml><?xml version="1.0" encoding="utf-8"?>
<ds:datastoreItem xmlns:ds="http://schemas.openxmlformats.org/officeDocument/2006/customXml" ds:itemID="{1AC67AB1-9A61-457E-AF94-74959BB0FE21}">
  <ds:schemaRefs>
    <ds:schemaRef ds:uri="http://purl.org/dc/terms/"/>
    <ds:schemaRef ds:uri="http://purl.org/dc/dcmitype/"/>
    <ds:schemaRef ds:uri="http://schemas.microsoft.com/sharepoint/v3"/>
    <ds:schemaRef ds:uri="http://schemas.microsoft.com/office/2006/documentManagement/types"/>
    <ds:schemaRef ds:uri="http://purl.org/dc/elements/1.1/"/>
    <ds:schemaRef ds:uri="http://schemas.microsoft.com/sharepoint/v4"/>
    <ds:schemaRef ds:uri="http://schemas.microsoft.com/office/infopath/2007/PartnerControls"/>
    <ds:schemaRef ds:uri="http://www.w3.org/XML/1998/namespace"/>
    <ds:schemaRef ds:uri="http://schemas.openxmlformats.org/package/2006/metadata/core-properties"/>
    <ds:schemaRef ds:uri="7d3a43e0-6a6d-43c3-be80-d9064606a4a9"/>
    <ds:schemaRef ds:uri="08acf695-f66a-4768-b3cf-48c5dc920db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5669</Words>
  <Characters>32317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37911</CharactersWithSpaces>
  <SharedDoc>false</SharedDoc>
  <HLinks>
    <vt:vector size="6" baseType="variant">
      <vt:variant>
        <vt:i4>5767246</vt:i4>
      </vt:variant>
      <vt:variant>
        <vt:i4>0</vt:i4>
      </vt:variant>
      <vt:variant>
        <vt:i4>0</vt:i4>
      </vt:variant>
      <vt:variant>
        <vt:i4>5</vt:i4>
      </vt:variant>
      <vt:variant>
        <vt:lpwstr>https://eiopa.europa.eu/consultations/consultation-papers/index.html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2025-06-03T15:55:00Z</dcterms:created>
  <dcterms:modified xsi:type="dcterms:W3CDTF">2025-06-03T15:55:00Z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10" name="ERIS_Department">
    <vt:lpwstr>9;#Supervisory Processes Department|3a9db3ad-f1a2-49c0-8c29-af39c608fb30</vt:lpwstr>
  </property>
  <property fmtid="{D5CDD505-2E9C-101B-9397-08002B2CF9AE}" pid="13" name="RecordPoint_WorkflowType">
    <vt:lpwstr>ActiveSubmitStub</vt:lpwstr>
  </property>
  <property fmtid="{D5CDD505-2E9C-101B-9397-08002B2CF9AE}" pid="14" name="ERIS_DocumentType">
    <vt:lpwstr>42;#Consultation/Discussion Paper|d6165307-c9dd-4b86-89b7-c1e302d608ac</vt:lpwstr>
  </property>
  <property fmtid="{D5CDD505-2E9C-101B-9397-08002B2CF9AE}" pid="18" name="ERIS_Language">
    <vt:lpwstr>3;#English|2741a941-2920-4ba4-aa70-d8ed6ac1785d</vt:lpwstr>
  </property>
  <property fmtid="{D5CDD505-2E9C-101B-9397-08002B2CF9AE}" pid="20" name="MDU">
    <vt:lpwstr/>
  </property>
  <property fmtid="{D5CDD505-2E9C-101B-9397-08002B2CF9AE}" pid="24" name="RecordPoint_ActiveItemUniqueId">
    <vt:lpwstr>{0ddcd5cf-2ed3-485f-9d66-5a113e3efe92}</vt:lpwstr>
  </property>
  <property fmtid="{D5CDD505-2E9C-101B-9397-08002B2CF9AE}" pid="25" name="RecordPoint_SubmissionCompleted">
    <vt:lpwstr>2025-06-03T17:58:32.5987186+02:00</vt:lpwstr>
  </property>
  <property fmtid="{D5CDD505-2E9C-101B-9397-08002B2CF9AE}" pid="26" name="ERIS_Keywords">
    <vt:lpwstr>8;#Quantitative Reporting Templates|d7753427-b1c9-4f72-b6a6-10b2a5ee67e3;#4;#Prudential Policy|43245a93-b13b-4262-9edd-8f7887118150;#5;#Regulatory Framework Monitoring|c95f4284-c8c2-4a99-bcad-302f92cd1745</vt:lpwstr>
  </property>
  <property fmtid="{D5CDD505-2E9C-101B-9397-08002B2CF9AE}" pid="27" name="RecordPoint_ActiveItemWebId">
    <vt:lpwstr>{7d3a43e0-6a6d-43c3-be80-d9064606a4a9}</vt:lpwstr>
  </property>
  <property fmtid="{D5CDD505-2E9C-101B-9397-08002B2CF9AE}" pid="28" name="RecordPoint_ActiveItemSiteId">
    <vt:lpwstr>{7a172dfa-c9d6-41b8-93a6-13c75f55ec66}</vt:lpwstr>
  </property>
  <property fmtid="{D5CDD505-2E9C-101B-9397-08002B2CF9AE}" pid="29" name="RecordPoint_ActiveItemListId">
    <vt:lpwstr>{335d190b-d285-4fb9-b9c4-fd3b7459182d}</vt:lpwstr>
  </property>
  <property fmtid="{D5CDD505-2E9C-101B-9397-08002B2CF9AE}" pid="30" name="RecordPoint_RecordNumberSubmitted">
    <vt:lpwstr>EIOPA(2025)0138455</vt:lpwstr>
  </property>
</Properties>
</file>